
<file path=[Content_Types].xml><?xml version="1.0" encoding="utf-8"?>
<Types xmlns="http://schemas.openxmlformats.org/package/2006/content-types">
  <Default Extension="xml" ContentType="application/xml"/>
  <Default Extension="emf" ContentType="image/x-emf"/>
  <Default Extension="jpeg" ContentType="image/jpe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headerReference r:id="rId4" w:type="even"/>
          <w:footerReference r:id="rId5"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950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九</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950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九</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155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7052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6432;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2576"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4390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848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黑体" w:eastAsia="黑体" w:cs="黑体"/>
          <w:sz w:val="56"/>
          <w:szCs w:val="72"/>
        </w:rPr>
      </w:pPr>
      <w:r>
        <w:rPr>
          <w:rFonts w:hint="eastAsia" w:ascii="黑体" w:hAnsi="Times New Roman" w:eastAsia="黑体" w:cs="Times New Roman"/>
          <w:sz w:val="48"/>
          <w:szCs w:val="48"/>
        </w:rPr>
        <w:drawing>
          <wp:inline distT="0" distB="0" distL="114300" distR="114300">
            <wp:extent cx="5687060" cy="7582535"/>
            <wp:effectExtent l="0" t="0" r="12700" b="6985"/>
            <wp:docPr id="33" name="图片 33" descr="微信图片_202009091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图片_20200909142505"/>
                    <pic:cNvPicPr>
                      <a:picLocks noChangeAspect="1"/>
                    </pic:cNvPicPr>
                  </pic:nvPicPr>
                  <pic:blipFill>
                    <a:blip r:embed="rId25"/>
                    <a:stretch>
                      <a:fillRect/>
                    </a:stretch>
                  </pic:blipFill>
                  <pic:spPr>
                    <a:xfrm>
                      <a:off x="0" y="0"/>
                      <a:ext cx="5687060" cy="7582535"/>
                    </a:xfrm>
                    <a:prstGeom prst="rect">
                      <a:avLst/>
                    </a:prstGeom>
                  </pic:spPr>
                </pic:pic>
              </a:graphicData>
            </a:graphic>
          </wp:inline>
        </w:drawing>
      </w:r>
    </w:p>
    <w:p>
      <w:pP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3600"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360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6"/>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after="0" w:line="240" w:lineRule="auto"/>
        <w:ind w:firstLine="640" w:firstLineChars="200"/>
        <w:jc w:val="left"/>
        <w:rPr>
          <w:rFonts w:ascii="仿宋" w:hAnsi="仿宋" w:eastAsia="仿宋" w:cs="宋体"/>
          <w:kern w:val="0"/>
          <w:sz w:val="24"/>
        </w:rPr>
      </w:pPr>
      <w:r>
        <w:rPr>
          <w:rFonts w:hint="eastAsia" w:ascii="仿宋" w:hAnsi="仿宋" w:eastAsia="仿宋" w:cs="宋体"/>
          <w:color w:val="000000"/>
          <w:kern w:val="0"/>
          <w:sz w:val="32"/>
          <w:szCs w:val="32"/>
        </w:rPr>
        <w:t>按照《预算法》、《政府信息公开条</w:t>
      </w:r>
      <w:r>
        <w:rPr>
          <w:rFonts w:hint="eastAsia" w:ascii="仿宋" w:hAnsi="仿宋" w:eastAsia="仿宋" w:cs="___WRD_EMBED_SUB_41"/>
          <w:color w:val="000000"/>
          <w:kern w:val="0"/>
          <w:sz w:val="32"/>
          <w:szCs w:val="32"/>
        </w:rPr>
        <w:t>例》、《</w:t>
      </w:r>
      <w:r>
        <w:rPr>
          <w:rFonts w:hint="eastAsia" w:ascii="仿宋" w:hAnsi="仿宋" w:eastAsia="仿宋" w:cs="宋体"/>
          <w:color w:val="000000"/>
          <w:kern w:val="0"/>
          <w:sz w:val="32"/>
          <w:szCs w:val="32"/>
        </w:rPr>
        <w:t>党</w:t>
      </w:r>
      <w:r>
        <w:rPr>
          <w:rFonts w:hint="eastAsia" w:ascii="仿宋" w:hAnsi="仿宋" w:eastAsia="仿宋" w:cs="___WRD_EMBED_SUB_41"/>
          <w:color w:val="000000"/>
          <w:kern w:val="0"/>
          <w:sz w:val="32"/>
          <w:szCs w:val="32"/>
        </w:rPr>
        <w:t>政机关厉行</w:t>
      </w:r>
      <w:r>
        <w:rPr>
          <w:rFonts w:hint="eastAsia" w:ascii="仿宋" w:hAnsi="仿宋" w:eastAsia="仿宋" w:cs="宋体"/>
          <w:color w:val="000000"/>
          <w:kern w:val="0"/>
          <w:sz w:val="32"/>
          <w:szCs w:val="32"/>
        </w:rPr>
        <w:t xml:space="preserve"> </w:t>
      </w:r>
    </w:p>
    <w:p>
      <w:pPr>
        <w:widowControl/>
        <w:spacing w:after="0" w:line="240" w:lineRule="auto"/>
        <w:jc w:val="left"/>
        <w:rPr>
          <w:rFonts w:ascii="仿宋" w:hAnsi="仿宋" w:eastAsia="仿宋" w:cs="宋体"/>
          <w:kern w:val="0"/>
          <w:sz w:val="24"/>
        </w:rPr>
      </w:pPr>
      <w:r>
        <w:rPr>
          <w:rFonts w:hint="eastAsia" w:ascii="仿宋" w:hAnsi="仿宋" w:eastAsia="仿宋" w:cs="宋体"/>
          <w:color w:val="000000"/>
          <w:kern w:val="0"/>
          <w:sz w:val="32"/>
          <w:szCs w:val="32"/>
        </w:rPr>
        <w:t>节约反对浪</w:t>
      </w:r>
      <w:r>
        <w:rPr>
          <w:rFonts w:hint="eastAsia" w:ascii="仿宋" w:hAnsi="仿宋" w:eastAsia="仿宋" w:cs="___WRD_EMBED_SUB_41"/>
          <w:color w:val="000000"/>
          <w:kern w:val="0"/>
          <w:sz w:val="32"/>
          <w:szCs w:val="32"/>
        </w:rPr>
        <w:t>费</w:t>
      </w:r>
      <w:r>
        <w:rPr>
          <w:rFonts w:hint="eastAsia" w:ascii="仿宋" w:hAnsi="仿宋" w:eastAsia="仿宋" w:cs="宋体"/>
          <w:color w:val="000000"/>
          <w:kern w:val="0"/>
          <w:sz w:val="32"/>
          <w:szCs w:val="32"/>
        </w:rPr>
        <w:t>条</w:t>
      </w:r>
      <w:r>
        <w:rPr>
          <w:rFonts w:hint="eastAsia" w:ascii="仿宋" w:hAnsi="仿宋" w:eastAsia="仿宋" w:cs="___WRD_EMBED_SUB_41"/>
          <w:color w:val="000000"/>
          <w:kern w:val="0"/>
          <w:sz w:val="32"/>
          <w:szCs w:val="32"/>
        </w:rPr>
        <w:t>例》等有关规定，现</w:t>
      </w:r>
      <w:r>
        <w:rPr>
          <w:rFonts w:hint="eastAsia" w:ascii="仿宋" w:hAnsi="仿宋" w:eastAsia="仿宋" w:cs="宋体"/>
          <w:color w:val="000000"/>
          <w:kern w:val="0"/>
          <w:sz w:val="32"/>
          <w:szCs w:val="32"/>
        </w:rPr>
        <w:t>将</w:t>
      </w:r>
      <w:r>
        <w:rPr>
          <w:rFonts w:hint="eastAsia" w:ascii="仿宋" w:hAnsi="仿宋" w:eastAsia="仿宋" w:cs="宋体"/>
          <w:color w:val="000000"/>
          <w:kern w:val="0"/>
          <w:sz w:val="32"/>
          <w:szCs w:val="32"/>
          <w:lang w:eastAsia="zh-CN"/>
        </w:rPr>
        <w:t>井陉县</w:t>
      </w:r>
      <w:r>
        <w:rPr>
          <w:rFonts w:hint="eastAsia" w:ascii="仿宋" w:hAnsi="仿宋" w:eastAsia="仿宋" w:cs="宋体"/>
          <w:color w:val="000000"/>
          <w:kern w:val="0"/>
          <w:sz w:val="32"/>
          <w:szCs w:val="32"/>
        </w:rPr>
        <w:t>纪</w:t>
      </w:r>
      <w:r>
        <w:rPr>
          <w:rFonts w:hint="eastAsia" w:ascii="仿宋" w:hAnsi="仿宋" w:eastAsia="仿宋" w:cs="___WRD_EMBED_SUB_41"/>
          <w:color w:val="000000"/>
          <w:kern w:val="0"/>
          <w:sz w:val="32"/>
          <w:szCs w:val="32"/>
        </w:rPr>
        <w:t>委</w:t>
      </w:r>
      <w:r>
        <w:rPr>
          <w:rFonts w:hint="eastAsia" w:ascii="仿宋" w:hAnsi="仿宋" w:eastAsia="仿宋" w:cs="宋体"/>
          <w:color w:val="000000"/>
          <w:kern w:val="0"/>
          <w:sz w:val="32"/>
          <w:szCs w:val="32"/>
        </w:rPr>
        <w:t xml:space="preserve"> 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 xml:space="preserve"> 年度 </w:t>
      </w:r>
    </w:p>
    <w:p>
      <w:pPr>
        <w:widowControl/>
        <w:spacing w:after="0" w:line="240" w:lineRule="auto"/>
        <w:jc w:val="left"/>
        <w:rPr>
          <w:rFonts w:ascii="仿宋" w:hAnsi="仿宋" w:eastAsia="仿宋" w:cs="宋体"/>
          <w:kern w:val="0"/>
          <w:sz w:val="24"/>
        </w:rPr>
      </w:pPr>
      <w:r>
        <w:rPr>
          <w:rFonts w:hint="eastAsia" w:ascii="仿宋" w:hAnsi="仿宋" w:eastAsia="仿宋" w:cs="宋体"/>
          <w:color w:val="000000"/>
          <w:kern w:val="0"/>
          <w:sz w:val="32"/>
          <w:szCs w:val="32"/>
        </w:rPr>
        <w:t>相关决算信息给</w:t>
      </w:r>
      <w:r>
        <w:rPr>
          <w:rFonts w:hint="eastAsia" w:ascii="仿宋" w:hAnsi="仿宋" w:eastAsia="仿宋" w:cs="___WRD_EMBED_SUB_41"/>
          <w:color w:val="000000"/>
          <w:kern w:val="0"/>
          <w:sz w:val="32"/>
          <w:szCs w:val="32"/>
        </w:rPr>
        <w:t>予公开。根据上级有关规定，井陉县</w:t>
      </w:r>
      <w:r>
        <w:rPr>
          <w:rFonts w:hint="eastAsia" w:ascii="仿宋" w:hAnsi="仿宋" w:eastAsia="仿宋" w:cs="宋体"/>
          <w:color w:val="000000"/>
          <w:kern w:val="0"/>
          <w:sz w:val="32"/>
          <w:szCs w:val="32"/>
        </w:rPr>
        <w:t>纪</w:t>
      </w:r>
      <w:r>
        <w:rPr>
          <w:rFonts w:hint="eastAsia" w:ascii="仿宋" w:hAnsi="仿宋" w:eastAsia="仿宋" w:cs="___WRD_EMBED_SUB_41"/>
          <w:color w:val="000000"/>
          <w:kern w:val="0"/>
          <w:sz w:val="32"/>
          <w:szCs w:val="32"/>
        </w:rPr>
        <w:t>委的主</w:t>
      </w:r>
      <w:r>
        <w:rPr>
          <w:rFonts w:hint="eastAsia" w:ascii="仿宋" w:hAnsi="仿宋" w:eastAsia="仿宋" w:cs="宋体"/>
          <w:color w:val="000000"/>
          <w:kern w:val="0"/>
          <w:sz w:val="32"/>
          <w:szCs w:val="32"/>
        </w:rPr>
        <w:t xml:space="preserve"> </w:t>
      </w:r>
    </w:p>
    <w:p>
      <w:pPr>
        <w:widowControl/>
        <w:spacing w:after="0" w:line="240" w:lineRule="auto"/>
        <w:jc w:val="left"/>
        <w:rPr>
          <w:rFonts w:ascii="仿宋" w:hAnsi="仿宋" w:eastAsia="仿宋" w:cs="宋体"/>
          <w:kern w:val="0"/>
          <w:sz w:val="24"/>
        </w:rPr>
      </w:pPr>
      <w:r>
        <w:rPr>
          <w:rFonts w:hint="eastAsia" w:ascii="仿宋" w:hAnsi="仿宋" w:eastAsia="仿宋" w:cs="宋体"/>
          <w:color w:val="000000"/>
          <w:kern w:val="0"/>
          <w:sz w:val="32"/>
          <w:szCs w:val="32"/>
        </w:rPr>
        <w:t xml:space="preserve">要职责是： </w:t>
      </w:r>
    </w:p>
    <w:p>
      <w:pPr>
        <w:pStyle w:val="12"/>
        <w:widowControl/>
        <w:numPr>
          <w:ilvl w:val="0"/>
          <w:numId w:val="1"/>
        </w:numPr>
        <w:spacing w:after="0" w:line="240" w:lineRule="auto"/>
        <w:ind w:firstLineChars="0"/>
        <w:jc w:val="left"/>
        <w:rPr>
          <w:rFonts w:ascii="仿宋" w:hAnsi="仿宋" w:eastAsia="仿宋" w:cs="___WRD_EMBED_SUB_41"/>
          <w:color w:val="000000"/>
          <w:kern w:val="0"/>
          <w:sz w:val="32"/>
          <w:szCs w:val="32"/>
        </w:rPr>
      </w:pPr>
      <w:r>
        <w:rPr>
          <w:rFonts w:hint="eastAsia" w:ascii="仿宋" w:hAnsi="仿宋" w:eastAsia="仿宋" w:cs="宋体"/>
          <w:color w:val="000000"/>
          <w:kern w:val="0"/>
          <w:sz w:val="32"/>
          <w:szCs w:val="32"/>
        </w:rPr>
        <w:t>负</w:t>
      </w:r>
      <w:r>
        <w:rPr>
          <w:rFonts w:hint="eastAsia" w:ascii="仿宋" w:hAnsi="仿宋" w:eastAsia="仿宋" w:cs="___WRD_EMBED_SUB_41"/>
          <w:color w:val="000000"/>
          <w:kern w:val="0"/>
          <w:sz w:val="32"/>
          <w:szCs w:val="32"/>
        </w:rPr>
        <w:t>责全县</w:t>
      </w:r>
      <w:r>
        <w:rPr>
          <w:rFonts w:hint="eastAsia" w:ascii="仿宋" w:hAnsi="仿宋" w:eastAsia="仿宋" w:cs="宋体"/>
          <w:color w:val="000000"/>
          <w:kern w:val="0"/>
          <w:sz w:val="32"/>
          <w:szCs w:val="32"/>
        </w:rPr>
        <w:t>党</w:t>
      </w:r>
      <w:r>
        <w:rPr>
          <w:rFonts w:hint="eastAsia" w:ascii="仿宋" w:hAnsi="仿宋" w:eastAsia="仿宋" w:cs="___WRD_EMBED_SUB_41"/>
          <w:color w:val="000000"/>
          <w:kern w:val="0"/>
          <w:sz w:val="32"/>
          <w:szCs w:val="32"/>
        </w:rPr>
        <w:t>的</w:t>
      </w:r>
      <w:r>
        <w:rPr>
          <w:rFonts w:hint="eastAsia" w:ascii="仿宋" w:hAnsi="仿宋" w:eastAsia="仿宋" w:cs="宋体"/>
          <w:color w:val="000000"/>
          <w:kern w:val="0"/>
          <w:sz w:val="32"/>
          <w:szCs w:val="32"/>
        </w:rPr>
        <w:t>纪律检</w:t>
      </w:r>
      <w:r>
        <w:rPr>
          <w:rFonts w:hint="eastAsia" w:ascii="仿宋" w:hAnsi="仿宋" w:eastAsia="仿宋" w:cs="___WRD_EMBED_SUB_41"/>
          <w:color w:val="000000"/>
          <w:kern w:val="0"/>
          <w:sz w:val="32"/>
          <w:szCs w:val="32"/>
        </w:rPr>
        <w:t>查工作。</w:t>
      </w:r>
      <w:r>
        <w:rPr>
          <w:rFonts w:hint="eastAsia" w:ascii="仿宋" w:hAnsi="仿宋" w:eastAsia="仿宋" w:cs="宋体"/>
          <w:color w:val="000000"/>
          <w:kern w:val="0"/>
          <w:sz w:val="32"/>
          <w:szCs w:val="32"/>
        </w:rPr>
        <w:t xml:space="preserve"> </w:t>
      </w:r>
    </w:p>
    <w:p>
      <w:pPr>
        <w:widowControl/>
        <w:spacing w:after="0" w:line="240" w:lineRule="auto"/>
        <w:ind w:firstLine="640" w:firstLineChars="200"/>
        <w:jc w:val="left"/>
        <w:rPr>
          <w:rFonts w:ascii="仿宋" w:hAnsi="仿宋" w:eastAsia="仿宋" w:cs="宋体"/>
          <w:kern w:val="0"/>
          <w:sz w:val="24"/>
        </w:rPr>
      </w:pPr>
      <w:r>
        <w:rPr>
          <w:rFonts w:hint="eastAsia" w:ascii="仿宋" w:hAnsi="仿宋" w:eastAsia="仿宋" w:cs="宋体"/>
          <w:color w:val="000000"/>
          <w:kern w:val="0"/>
          <w:sz w:val="32"/>
          <w:szCs w:val="32"/>
        </w:rPr>
        <w:t>二、负</w:t>
      </w:r>
      <w:r>
        <w:rPr>
          <w:rFonts w:hint="eastAsia" w:ascii="仿宋" w:hAnsi="仿宋" w:eastAsia="仿宋" w:cs="___WRD_EMBED_SUB_41"/>
          <w:color w:val="000000"/>
          <w:kern w:val="0"/>
          <w:sz w:val="32"/>
          <w:szCs w:val="32"/>
        </w:rPr>
        <w:t>责全县行政</w:t>
      </w:r>
      <w:r>
        <w:rPr>
          <w:rFonts w:hint="eastAsia" w:ascii="仿宋" w:hAnsi="仿宋" w:eastAsia="仿宋" w:cs="宋体"/>
          <w:color w:val="000000"/>
          <w:kern w:val="0"/>
          <w:sz w:val="32"/>
          <w:szCs w:val="32"/>
        </w:rPr>
        <w:t>监</w:t>
      </w:r>
      <w:r>
        <w:rPr>
          <w:rFonts w:hint="eastAsia" w:ascii="仿宋" w:hAnsi="仿宋" w:eastAsia="仿宋" w:cs="___WRD_EMBED_SUB_41"/>
          <w:color w:val="000000"/>
          <w:kern w:val="0"/>
          <w:sz w:val="32"/>
          <w:szCs w:val="32"/>
        </w:rPr>
        <w:t>察工作。</w:t>
      </w:r>
      <w:r>
        <w:rPr>
          <w:rFonts w:hint="eastAsia" w:ascii="仿宋" w:hAnsi="仿宋" w:eastAsia="仿宋" w:cs="宋体"/>
          <w:color w:val="000000"/>
          <w:kern w:val="0"/>
          <w:sz w:val="32"/>
          <w:szCs w:val="32"/>
        </w:rPr>
        <w:t xml:space="preserve"> </w:t>
      </w:r>
    </w:p>
    <w:p>
      <w:pPr>
        <w:widowControl/>
        <w:spacing w:after="0" w:line="240" w:lineRule="auto"/>
        <w:ind w:firstLine="640" w:firstLineChars="200"/>
        <w:jc w:val="left"/>
        <w:rPr>
          <w:rFonts w:ascii="仿宋" w:hAnsi="仿宋" w:eastAsia="仿宋" w:cs="宋体"/>
          <w:kern w:val="0"/>
          <w:sz w:val="24"/>
        </w:rPr>
      </w:pPr>
      <w:r>
        <w:rPr>
          <w:rFonts w:hint="eastAsia" w:ascii="仿宋" w:hAnsi="仿宋" w:eastAsia="仿宋" w:cs="宋体"/>
          <w:color w:val="000000"/>
          <w:kern w:val="0"/>
          <w:sz w:val="32"/>
          <w:szCs w:val="32"/>
        </w:rPr>
        <w:t>三、依</w:t>
      </w:r>
      <w:r>
        <w:rPr>
          <w:rFonts w:hint="eastAsia" w:ascii="仿宋" w:hAnsi="仿宋" w:eastAsia="仿宋" w:cs="___WRD_EMBED_SUB_41"/>
          <w:color w:val="000000"/>
          <w:kern w:val="0"/>
          <w:sz w:val="32"/>
          <w:szCs w:val="32"/>
        </w:rPr>
        <w:t>照</w:t>
      </w:r>
      <w:r>
        <w:rPr>
          <w:rFonts w:hint="eastAsia" w:ascii="仿宋" w:hAnsi="仿宋" w:eastAsia="仿宋" w:cs="宋体"/>
          <w:color w:val="000000"/>
          <w:kern w:val="0"/>
          <w:sz w:val="32"/>
          <w:szCs w:val="32"/>
        </w:rPr>
        <w:t>党</w:t>
      </w:r>
      <w:r>
        <w:rPr>
          <w:rFonts w:hint="eastAsia" w:ascii="仿宋" w:hAnsi="仿宋" w:eastAsia="仿宋" w:cs="___WRD_EMBED_SUB_41"/>
          <w:color w:val="000000"/>
          <w:kern w:val="0"/>
          <w:sz w:val="32"/>
          <w:szCs w:val="32"/>
        </w:rPr>
        <w:t>的</w:t>
      </w:r>
      <w:r>
        <w:rPr>
          <w:rFonts w:hint="eastAsia" w:ascii="仿宋" w:hAnsi="仿宋" w:eastAsia="仿宋" w:cs="宋体"/>
          <w:color w:val="000000"/>
          <w:kern w:val="0"/>
          <w:sz w:val="32"/>
          <w:szCs w:val="32"/>
        </w:rPr>
        <w:t>章</w:t>
      </w:r>
      <w:r>
        <w:rPr>
          <w:rFonts w:hint="eastAsia" w:ascii="仿宋" w:hAnsi="仿宋" w:eastAsia="仿宋" w:cs="___WRD_EMBED_SUB_41"/>
          <w:color w:val="000000"/>
          <w:kern w:val="0"/>
          <w:sz w:val="32"/>
          <w:szCs w:val="32"/>
        </w:rPr>
        <w:t>程</w:t>
      </w:r>
      <w:r>
        <w:rPr>
          <w:rFonts w:hint="eastAsia" w:ascii="仿宋" w:hAnsi="仿宋" w:eastAsia="仿宋" w:cs="宋体"/>
          <w:color w:val="000000"/>
          <w:kern w:val="0"/>
          <w:sz w:val="32"/>
          <w:szCs w:val="32"/>
        </w:rPr>
        <w:t>履</w:t>
      </w:r>
      <w:r>
        <w:rPr>
          <w:rFonts w:hint="eastAsia" w:ascii="仿宋" w:hAnsi="仿宋" w:eastAsia="仿宋" w:cs="___WRD_EMBED_SUB_41"/>
          <w:color w:val="000000"/>
          <w:kern w:val="0"/>
          <w:sz w:val="32"/>
          <w:szCs w:val="32"/>
        </w:rPr>
        <w:t>行</w:t>
      </w:r>
      <w:r>
        <w:rPr>
          <w:rFonts w:hint="eastAsia" w:ascii="仿宋" w:hAnsi="仿宋" w:eastAsia="仿宋" w:cs="宋体"/>
          <w:color w:val="000000"/>
          <w:kern w:val="0"/>
          <w:sz w:val="32"/>
          <w:szCs w:val="32"/>
        </w:rPr>
        <w:t>监</w:t>
      </w:r>
      <w:r>
        <w:rPr>
          <w:rFonts w:hint="eastAsia" w:ascii="仿宋" w:hAnsi="仿宋" w:eastAsia="仿宋" w:cs="___WRD_EMBED_SUB_41"/>
          <w:color w:val="000000"/>
          <w:kern w:val="0"/>
          <w:sz w:val="32"/>
          <w:szCs w:val="32"/>
        </w:rPr>
        <w:t>督、执</w:t>
      </w:r>
      <w:r>
        <w:rPr>
          <w:rFonts w:hint="eastAsia" w:ascii="仿宋" w:hAnsi="仿宋" w:eastAsia="仿宋" w:cs="宋体"/>
          <w:color w:val="000000"/>
          <w:kern w:val="0"/>
          <w:sz w:val="32"/>
          <w:szCs w:val="32"/>
        </w:rPr>
        <w:t>纪</w:t>
      </w:r>
      <w:r>
        <w:rPr>
          <w:rFonts w:hint="eastAsia" w:ascii="仿宋" w:hAnsi="仿宋" w:eastAsia="仿宋" w:cs="___WRD_EMBED_SUB_41"/>
          <w:color w:val="000000"/>
          <w:kern w:val="0"/>
          <w:sz w:val="32"/>
          <w:szCs w:val="32"/>
        </w:rPr>
        <w:t>、问责的责任。</w:t>
      </w:r>
      <w:r>
        <w:rPr>
          <w:rFonts w:hint="eastAsia" w:ascii="仿宋" w:hAnsi="仿宋" w:eastAsia="仿宋" w:cs="宋体"/>
          <w:color w:val="000000"/>
          <w:kern w:val="0"/>
          <w:sz w:val="32"/>
          <w:szCs w:val="32"/>
        </w:rPr>
        <w:t xml:space="preserve"> </w:t>
      </w:r>
    </w:p>
    <w:p>
      <w:pPr>
        <w:widowControl/>
        <w:spacing w:after="0" w:line="240" w:lineRule="auto"/>
        <w:ind w:firstLine="640" w:firstLineChars="200"/>
        <w:jc w:val="left"/>
        <w:rPr>
          <w:rFonts w:ascii="仿宋" w:hAnsi="仿宋" w:eastAsia="仿宋" w:cs="宋体"/>
          <w:kern w:val="0"/>
          <w:sz w:val="24"/>
        </w:rPr>
      </w:pPr>
      <w:r>
        <w:rPr>
          <w:rFonts w:hint="eastAsia" w:ascii="仿宋" w:hAnsi="仿宋" w:eastAsia="仿宋" w:cs="宋体"/>
          <w:color w:val="000000"/>
          <w:kern w:val="0"/>
          <w:sz w:val="32"/>
          <w:szCs w:val="32"/>
        </w:rPr>
        <w:t>四、在县委的领导下组织开展巡视</w:t>
      </w:r>
      <w:r>
        <w:rPr>
          <w:rFonts w:hint="eastAsia" w:ascii="仿宋" w:hAnsi="仿宋" w:eastAsia="仿宋" w:cs="___WRD_EMBED_SUB_41"/>
          <w:color w:val="000000"/>
          <w:kern w:val="0"/>
          <w:sz w:val="32"/>
          <w:szCs w:val="32"/>
        </w:rPr>
        <w:t>工作。</w:t>
      </w:r>
      <w:r>
        <w:rPr>
          <w:rFonts w:hint="eastAsia" w:ascii="仿宋" w:hAnsi="仿宋" w:eastAsia="仿宋" w:cs="宋体"/>
          <w:color w:val="000000"/>
          <w:kern w:val="0"/>
          <w:sz w:val="32"/>
          <w:szCs w:val="32"/>
        </w:rPr>
        <w:t xml:space="preserve"> </w:t>
      </w:r>
    </w:p>
    <w:p>
      <w:pPr>
        <w:widowControl/>
        <w:spacing w:after="0" w:line="240" w:lineRule="auto"/>
        <w:ind w:firstLine="640" w:firstLineChars="200"/>
        <w:jc w:val="left"/>
        <w:rPr>
          <w:rFonts w:ascii="仿宋" w:hAnsi="仿宋" w:eastAsia="仿宋" w:cs="宋体"/>
          <w:kern w:val="0"/>
          <w:sz w:val="24"/>
        </w:rPr>
      </w:pPr>
      <w:r>
        <w:rPr>
          <w:rFonts w:hint="eastAsia" w:ascii="仿宋" w:hAnsi="仿宋" w:eastAsia="仿宋" w:cs="宋体"/>
          <w:color w:val="000000"/>
          <w:kern w:val="0"/>
          <w:sz w:val="32"/>
          <w:szCs w:val="32"/>
        </w:rPr>
        <w:t>五、负</w:t>
      </w:r>
      <w:r>
        <w:rPr>
          <w:rFonts w:hint="eastAsia" w:ascii="仿宋" w:hAnsi="仿宋" w:eastAsia="仿宋" w:cs="___WRD_EMBED_SUB_41"/>
          <w:color w:val="000000"/>
          <w:kern w:val="0"/>
          <w:sz w:val="32"/>
          <w:szCs w:val="32"/>
        </w:rPr>
        <w:t>责组织</w:t>
      </w:r>
      <w:r>
        <w:rPr>
          <w:rFonts w:hint="eastAsia" w:ascii="仿宋" w:hAnsi="仿宋" w:eastAsia="仿宋" w:cs="宋体"/>
          <w:color w:val="000000"/>
          <w:kern w:val="0"/>
          <w:sz w:val="32"/>
          <w:szCs w:val="32"/>
        </w:rPr>
        <w:t>协调</w:t>
      </w:r>
      <w:r>
        <w:rPr>
          <w:rFonts w:hint="eastAsia" w:ascii="仿宋" w:hAnsi="仿宋" w:eastAsia="仿宋" w:cs="___WRD_EMBED_SUB_41"/>
          <w:color w:val="000000"/>
          <w:kern w:val="0"/>
          <w:sz w:val="32"/>
          <w:szCs w:val="32"/>
        </w:rPr>
        <w:t>全面从严</w:t>
      </w:r>
      <w:r>
        <w:rPr>
          <w:rFonts w:hint="eastAsia" w:ascii="仿宋" w:hAnsi="仿宋" w:eastAsia="仿宋" w:cs="宋体"/>
          <w:color w:val="000000"/>
          <w:kern w:val="0"/>
          <w:sz w:val="32"/>
          <w:szCs w:val="32"/>
        </w:rPr>
        <w:t>治党</w:t>
      </w:r>
      <w:r>
        <w:rPr>
          <w:rFonts w:hint="eastAsia" w:ascii="仿宋" w:hAnsi="仿宋" w:eastAsia="仿宋" w:cs="___WRD_EMBED_SUB_41"/>
          <w:color w:val="000000"/>
          <w:kern w:val="0"/>
          <w:sz w:val="32"/>
          <w:szCs w:val="32"/>
        </w:rPr>
        <w:t>、</w:t>
      </w:r>
      <w:r>
        <w:rPr>
          <w:rFonts w:hint="eastAsia" w:ascii="仿宋" w:hAnsi="仿宋" w:eastAsia="仿宋" w:cs="宋体"/>
          <w:color w:val="000000"/>
          <w:kern w:val="0"/>
          <w:sz w:val="32"/>
          <w:szCs w:val="32"/>
        </w:rPr>
        <w:t>党风廉</w:t>
      </w:r>
      <w:r>
        <w:rPr>
          <w:rFonts w:hint="eastAsia" w:ascii="仿宋" w:hAnsi="仿宋" w:eastAsia="仿宋" w:cs="___WRD_EMBED_SUB_41"/>
          <w:color w:val="000000"/>
          <w:kern w:val="0"/>
          <w:sz w:val="32"/>
          <w:szCs w:val="32"/>
        </w:rPr>
        <w:t>政建设和反</w:t>
      </w:r>
      <w:r>
        <w:rPr>
          <w:rFonts w:hint="eastAsia" w:ascii="仿宋" w:hAnsi="仿宋" w:eastAsia="仿宋" w:cs="宋体"/>
          <w:color w:val="000000"/>
          <w:kern w:val="0"/>
          <w:sz w:val="32"/>
          <w:szCs w:val="32"/>
        </w:rPr>
        <w:t xml:space="preserve">腐败宣 </w:t>
      </w:r>
    </w:p>
    <w:p>
      <w:pPr>
        <w:widowControl/>
        <w:spacing w:after="0" w:line="240" w:lineRule="auto"/>
        <w:jc w:val="left"/>
        <w:rPr>
          <w:rFonts w:ascii="仿宋" w:hAnsi="仿宋" w:eastAsia="仿宋" w:cs="宋体"/>
          <w:kern w:val="0"/>
          <w:sz w:val="24"/>
        </w:rPr>
      </w:pPr>
      <w:r>
        <w:rPr>
          <w:rFonts w:hint="eastAsia" w:ascii="仿宋" w:hAnsi="仿宋" w:eastAsia="仿宋" w:cs="宋体"/>
          <w:color w:val="000000"/>
          <w:kern w:val="0"/>
          <w:sz w:val="32"/>
          <w:szCs w:val="32"/>
        </w:rPr>
        <w:t>传</w:t>
      </w:r>
      <w:r>
        <w:rPr>
          <w:rFonts w:hint="eastAsia" w:ascii="仿宋" w:hAnsi="仿宋" w:eastAsia="仿宋" w:cs="___WRD_EMBED_SUB_41"/>
          <w:color w:val="000000"/>
          <w:kern w:val="0"/>
          <w:sz w:val="32"/>
          <w:szCs w:val="32"/>
        </w:rPr>
        <w:t>教育工作。</w:t>
      </w:r>
      <w:r>
        <w:rPr>
          <w:rFonts w:hint="eastAsia" w:ascii="仿宋" w:hAnsi="仿宋" w:eastAsia="仿宋" w:cs="宋体"/>
          <w:color w:val="000000"/>
          <w:kern w:val="0"/>
          <w:sz w:val="32"/>
          <w:szCs w:val="32"/>
        </w:rPr>
        <w:t xml:space="preserve"> </w:t>
      </w:r>
    </w:p>
    <w:p>
      <w:pPr>
        <w:widowControl/>
        <w:spacing w:after="0" w:line="240" w:lineRule="auto"/>
        <w:ind w:firstLine="640" w:firstLineChars="200"/>
        <w:jc w:val="left"/>
        <w:rPr>
          <w:rFonts w:ascii="仿宋" w:hAnsi="仿宋" w:eastAsia="仿宋" w:cs="宋体"/>
          <w:kern w:val="0"/>
          <w:sz w:val="24"/>
        </w:rPr>
      </w:pPr>
      <w:r>
        <w:rPr>
          <w:rFonts w:hint="eastAsia" w:ascii="仿宋" w:hAnsi="仿宋" w:eastAsia="仿宋" w:cs="宋体"/>
          <w:color w:val="000000"/>
          <w:kern w:val="0"/>
          <w:sz w:val="32"/>
          <w:szCs w:val="32"/>
        </w:rPr>
        <w:t>六、根据干部管理权</w:t>
      </w:r>
      <w:r>
        <w:rPr>
          <w:rFonts w:hint="eastAsia" w:ascii="仿宋" w:hAnsi="仿宋" w:eastAsia="仿宋" w:cs="___WRD_EMBED_SUB_41"/>
          <w:color w:val="000000"/>
          <w:kern w:val="0"/>
          <w:sz w:val="32"/>
          <w:szCs w:val="32"/>
        </w:rPr>
        <w:t>限，</w:t>
      </w:r>
      <w:r>
        <w:rPr>
          <w:rFonts w:hint="eastAsia" w:ascii="仿宋" w:hAnsi="仿宋" w:eastAsia="仿宋" w:cs="宋体"/>
          <w:color w:val="000000"/>
          <w:kern w:val="0"/>
          <w:sz w:val="32"/>
          <w:szCs w:val="32"/>
        </w:rPr>
        <w:t>负</w:t>
      </w:r>
      <w:r>
        <w:rPr>
          <w:rFonts w:hint="eastAsia" w:ascii="仿宋" w:hAnsi="仿宋" w:eastAsia="仿宋" w:cs="___WRD_EMBED_SUB_41"/>
          <w:color w:val="000000"/>
          <w:kern w:val="0"/>
          <w:sz w:val="32"/>
          <w:szCs w:val="32"/>
        </w:rPr>
        <w:t>责领导</w:t>
      </w:r>
      <w:r>
        <w:rPr>
          <w:rFonts w:hint="eastAsia" w:ascii="仿宋" w:hAnsi="仿宋" w:eastAsia="仿宋" w:cs="宋体"/>
          <w:color w:val="000000"/>
          <w:kern w:val="0"/>
          <w:sz w:val="32"/>
          <w:szCs w:val="32"/>
        </w:rPr>
        <w:t>班子</w:t>
      </w:r>
      <w:r>
        <w:rPr>
          <w:rFonts w:hint="eastAsia" w:ascii="仿宋" w:hAnsi="仿宋" w:eastAsia="仿宋" w:cs="___WRD_EMBED_SUB_41"/>
          <w:color w:val="000000"/>
          <w:kern w:val="0"/>
          <w:sz w:val="32"/>
          <w:szCs w:val="32"/>
        </w:rPr>
        <w:t>建设、干部</w:t>
      </w:r>
      <w:r>
        <w:rPr>
          <w:rFonts w:hint="eastAsia" w:ascii="仿宋" w:hAnsi="仿宋" w:eastAsia="仿宋" w:cs="宋体"/>
          <w:color w:val="000000"/>
          <w:kern w:val="0"/>
          <w:sz w:val="32"/>
          <w:szCs w:val="32"/>
        </w:rPr>
        <w:t>队伍</w:t>
      </w:r>
      <w:r>
        <w:rPr>
          <w:rFonts w:hint="eastAsia" w:ascii="仿宋" w:hAnsi="仿宋" w:eastAsia="仿宋" w:cs="___WRD_EMBED_SUB_41"/>
          <w:color w:val="000000"/>
          <w:kern w:val="0"/>
          <w:sz w:val="32"/>
          <w:szCs w:val="32"/>
        </w:rPr>
        <w:t>建设</w:t>
      </w:r>
      <w:r>
        <w:rPr>
          <w:rFonts w:hint="eastAsia" w:ascii="仿宋" w:hAnsi="仿宋" w:eastAsia="仿宋" w:cs="宋体"/>
          <w:color w:val="000000"/>
          <w:kern w:val="0"/>
          <w:sz w:val="32"/>
          <w:szCs w:val="32"/>
        </w:rPr>
        <w:t xml:space="preserve"> </w:t>
      </w:r>
    </w:p>
    <w:p>
      <w:pPr>
        <w:widowControl/>
        <w:spacing w:after="0" w:line="240" w:lineRule="auto"/>
        <w:jc w:val="left"/>
        <w:rPr>
          <w:rFonts w:ascii="仿宋" w:hAnsi="仿宋" w:eastAsia="仿宋" w:cs="宋体"/>
          <w:kern w:val="0"/>
          <w:sz w:val="24"/>
        </w:rPr>
      </w:pPr>
      <w:r>
        <w:rPr>
          <w:rFonts w:hint="eastAsia" w:ascii="仿宋" w:hAnsi="仿宋" w:eastAsia="仿宋" w:cs="宋体"/>
          <w:color w:val="000000"/>
          <w:kern w:val="0"/>
          <w:sz w:val="32"/>
          <w:szCs w:val="32"/>
        </w:rPr>
        <w:t>和组织建设的综合规划</w:t>
      </w:r>
      <w:r>
        <w:rPr>
          <w:rFonts w:hint="eastAsia" w:ascii="仿宋" w:hAnsi="仿宋" w:eastAsia="仿宋" w:cs="___WRD_EMBED_SUB_41"/>
          <w:color w:val="000000"/>
          <w:kern w:val="0"/>
          <w:sz w:val="32"/>
          <w:szCs w:val="32"/>
        </w:rPr>
        <w:t>和业务指导；组织和指导</w:t>
      </w:r>
      <w:r>
        <w:rPr>
          <w:rFonts w:hint="eastAsia" w:ascii="仿宋" w:hAnsi="仿宋" w:eastAsia="仿宋" w:cs="宋体"/>
          <w:color w:val="000000"/>
          <w:kern w:val="0"/>
          <w:sz w:val="32"/>
          <w:szCs w:val="32"/>
        </w:rPr>
        <w:t>纪检监</w:t>
      </w:r>
      <w:r>
        <w:rPr>
          <w:rFonts w:hint="eastAsia" w:ascii="仿宋" w:hAnsi="仿宋" w:eastAsia="仿宋" w:cs="___WRD_EMBED_SUB_41"/>
          <w:color w:val="000000"/>
          <w:kern w:val="0"/>
          <w:sz w:val="32"/>
          <w:szCs w:val="32"/>
        </w:rPr>
        <w:t>察</w:t>
      </w:r>
      <w:r>
        <w:rPr>
          <w:rFonts w:hint="eastAsia" w:ascii="仿宋" w:hAnsi="仿宋" w:eastAsia="仿宋" w:cs="宋体"/>
          <w:color w:val="000000"/>
          <w:kern w:val="0"/>
          <w:sz w:val="32"/>
          <w:szCs w:val="32"/>
        </w:rPr>
        <w:t>系</w:t>
      </w:r>
      <w:r>
        <w:rPr>
          <w:rFonts w:hint="eastAsia" w:ascii="仿宋" w:hAnsi="仿宋" w:eastAsia="仿宋" w:cs="___WRD_EMBED_SUB_41"/>
          <w:color w:val="000000"/>
          <w:kern w:val="0"/>
          <w:sz w:val="32"/>
          <w:szCs w:val="32"/>
        </w:rPr>
        <w:t>统干</w:t>
      </w:r>
      <w:r>
        <w:rPr>
          <w:rFonts w:hint="eastAsia" w:ascii="仿宋" w:hAnsi="仿宋" w:eastAsia="仿宋" w:cs="宋体"/>
          <w:color w:val="000000"/>
          <w:kern w:val="0"/>
          <w:sz w:val="32"/>
          <w:szCs w:val="32"/>
        </w:rPr>
        <w:t xml:space="preserve"> </w:t>
      </w:r>
    </w:p>
    <w:p>
      <w:pPr>
        <w:autoSpaceDE w:val="0"/>
        <w:autoSpaceDN w:val="0"/>
        <w:adjustRightInd w:val="0"/>
        <w:spacing w:after="0" w:line="560" w:lineRule="exact"/>
        <w:jc w:val="left"/>
        <w:rPr>
          <w:rFonts w:ascii="仿宋" w:hAnsi="仿宋" w:eastAsia="仿宋" w:cs="ArialUnicodeMS"/>
          <w:kern w:val="0"/>
          <w:sz w:val="32"/>
          <w:szCs w:val="32"/>
          <w:highlight w:val="yellow"/>
        </w:rPr>
      </w:pPr>
      <w:r>
        <w:rPr>
          <w:rFonts w:hint="eastAsia" w:ascii="仿宋" w:hAnsi="仿宋" w:eastAsia="仿宋" w:cs="宋体"/>
          <w:color w:val="000000"/>
          <w:kern w:val="0"/>
          <w:sz w:val="32"/>
          <w:szCs w:val="32"/>
        </w:rPr>
        <w:t>部教育培训工作等。</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从决算编报单位构成看，纳入2019 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井陉县纪律检查委员会</w:t>
            </w:r>
          </w:p>
        </w:tc>
        <w:tc>
          <w:tcPr>
            <w:tcW w:w="244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财政拨款</w:t>
            </w:r>
          </w:p>
        </w:tc>
      </w:tr>
    </w:tbl>
    <w:p>
      <w:pPr>
        <w:widowControl/>
        <w:spacing w:after="160" w:line="580" w:lineRule="exact"/>
        <w:ind w:firstLine="640" w:firstLineChars="200"/>
        <w:rPr>
          <w:rFonts w:ascii="Times New Roman" w:hAnsi="Times New Roman" w:eastAsia="黑体" w:cs="Times New Roman"/>
          <w:sz w:val="32"/>
          <w:szCs w:val="32"/>
        </w:rPr>
        <w:sectPr>
          <w:footerReference r:id="rId12" w:type="first"/>
          <w:headerReference r:id="rId10" w:type="default"/>
          <w:footerReference r:id="rId11"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3"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7462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462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77696"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7769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6"/>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hint="eastAsia" w:ascii="仿宋_GB2312" w:hAnsi="Times New Roman" w:eastAsia="仿宋_GB2312" w:cs="DengXian-Regular"/>
          <w:sz w:val="32"/>
          <w:szCs w:val="32"/>
          <w:lang w:val="en-US" w:eastAsia="zh-CN"/>
        </w:rPr>
        <w:t>904.55</w:t>
      </w:r>
      <w:r>
        <w:rPr>
          <w:rFonts w:hint="eastAsia" w:ascii="仿宋_GB2312" w:hAnsi="Times New Roman" w:eastAsia="仿宋_GB2312" w:cs="DengXian-Regular"/>
          <w:sz w:val="32"/>
          <w:szCs w:val="32"/>
        </w:rPr>
        <w:t>万元。与2018年度决算相比，收支各增加</w:t>
      </w:r>
      <w:r>
        <w:rPr>
          <w:rFonts w:hint="eastAsia" w:ascii="仿宋_GB2312" w:hAnsi="Times New Roman" w:eastAsia="仿宋_GB2312" w:cs="DengXian-Regular"/>
          <w:sz w:val="32"/>
          <w:szCs w:val="32"/>
          <w:lang w:val="en-US" w:eastAsia="zh-CN"/>
        </w:rPr>
        <w:t>25.11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2.86</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:根据市纪委精神，增加一般谈话室建设经费，另新增纪检办案人员6人，人员经费和办公经费等各项费用均有增加。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881.13</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881.13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val="en-US" w:eastAsia="zh-CN"/>
        </w:rPr>
        <w:t>898.16</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797.54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88.8</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100.62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11.2</w:t>
      </w:r>
      <w:r>
        <w:rPr>
          <w:rFonts w:hint="eastAsia" w:ascii="仿宋_GB2312" w:hAnsi="Times New Roman" w:eastAsia="仿宋_GB2312" w:cs="DengXian-Regular"/>
          <w:sz w:val="32"/>
          <w:szCs w:val="32"/>
        </w:rPr>
        <w:t>%。如图所示：</w:t>
      </w:r>
    </w:p>
    <w:p>
      <w:pPr>
        <w:adjustRightInd w:val="0"/>
        <w:snapToGrid w:val="0"/>
        <w:spacing w:line="580" w:lineRule="exact"/>
        <w:ind w:firstLine="1260" w:firstLineChars="600"/>
        <w:rPr>
          <w:rFonts w:ascii="仿宋_GB2312" w:hAnsi="Times New Roman" w:eastAsia="仿宋_GB2312" w:cs="DengXian-Regular"/>
          <w:sz w:val="32"/>
          <w:szCs w:val="32"/>
        </w:rPr>
      </w:pPr>
      <w:r>
        <w:drawing>
          <wp:anchor distT="0" distB="0" distL="114300" distR="114300" simplePos="0" relativeHeight="251681792" behindDoc="0" locked="0" layoutInCell="1" allowOverlap="1">
            <wp:simplePos x="0" y="0"/>
            <wp:positionH relativeFrom="column">
              <wp:posOffset>709295</wp:posOffset>
            </wp:positionH>
            <wp:positionV relativeFrom="paragraph">
              <wp:posOffset>165100</wp:posOffset>
            </wp:positionV>
            <wp:extent cx="4126230" cy="2484755"/>
            <wp:effectExtent l="0" t="0" r="3810" b="14605"/>
            <wp:wrapSquare wrapText="bothSides"/>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4"/>
                    <pic:cNvPicPr>
                      <a:picLocks noChangeAspect="1"/>
                    </pic:cNvPicPr>
                  </pic:nvPicPr>
                  <pic:blipFill>
                    <a:blip r:embed="rId27"/>
                    <a:stretch>
                      <a:fillRect/>
                    </a:stretch>
                  </pic:blipFill>
                  <pic:spPr>
                    <a:xfrm>
                      <a:off x="0" y="0"/>
                      <a:ext cx="4126230" cy="2484755"/>
                    </a:xfrm>
                    <a:prstGeom prst="rect">
                      <a:avLst/>
                    </a:prstGeom>
                    <a:noFill/>
                    <a:ln>
                      <a:noFill/>
                    </a:ln>
                  </pic:spPr>
                </pic:pic>
              </a:graphicData>
            </a:graphic>
          </wp:anchor>
        </w:drawing>
      </w: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r>
        <w:rPr>
          <w:sz w:val="32"/>
        </w:rPr>
        <mc:AlternateContent>
          <mc:Choice Requires="wps">
            <w:drawing>
              <wp:anchor distT="0" distB="0" distL="114300" distR="114300" simplePos="0" relativeHeight="251675648" behindDoc="1" locked="0" layoutInCell="1" allowOverlap="1">
                <wp:simplePos x="0" y="0"/>
                <wp:positionH relativeFrom="column">
                  <wp:posOffset>770255</wp:posOffset>
                </wp:positionH>
                <wp:positionV relativeFrom="paragraph">
                  <wp:posOffset>226060</wp:posOffset>
                </wp:positionV>
                <wp:extent cx="3314700" cy="483235"/>
                <wp:effectExtent l="0" t="0" r="7620" b="4445"/>
                <wp:wrapNone/>
                <wp:docPr id="30" name="文本框 30"/>
                <wp:cNvGraphicFramePr/>
                <a:graphic xmlns:a="http://schemas.openxmlformats.org/drawingml/2006/main">
                  <a:graphicData uri="http://schemas.microsoft.com/office/word/2010/wordprocessingShape">
                    <wps:wsp>
                      <wps:cNvSpPr txBox="1"/>
                      <wps:spPr>
                        <a:xfrm>
                          <a:off x="1778635" y="8555990"/>
                          <a:ext cx="3314700" cy="48323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支出构成情况（按支出性质）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65pt;margin-top:17.8pt;height:38.05pt;width:261pt;z-index:-251640832;mso-width-relative:page;mso-height-relative:page;" fillcolor="#FFFFFF" filled="t" stroked="f" coordsize="21600,21600" o:gfxdata="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svpZfUAAAACgEAAA8AAAAAAAAAAQAgAAAAIgAA&#10;AGRycy9kb3ducmV2LnhtbFBLAQIUABQAAAAIAIdO4kBD4TpWRQIAAF0EAAAOAAAAAAAAAAEAIAAA&#10;ACMBAABkcnMvZTJvRG9jLnhtbFBLBQYAAAAABgAGAFkBAADaBQ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支出构成情况（按支出性质）</w:t>
                      </w:r>
                    </w:p>
                    <w:p>
                      <w:pPr>
                        <w:spacing w:after="160" w:line="480" w:lineRule="auto"/>
                        <w:rPr>
                          <w:rFonts w:ascii="Times New Roman" w:hAnsi="Times New Roman" w:eastAsia="宋体" w:cs="Times New Roman"/>
                          <w:sz w:val="20"/>
                        </w:rPr>
                      </w:pPr>
                    </w:p>
                  </w:txbxContent>
                </v:textbox>
              </v:shape>
            </w:pict>
          </mc:Fallback>
        </mc:AlternateContent>
      </w: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eastAsia="仿宋_GB2312" w:cs="DengXian-Regular"/>
          <w:sz w:val="32"/>
          <w:szCs w:val="32"/>
          <w:lang w:val="en-US" w:eastAsia="zh-CN"/>
        </w:rPr>
        <w:t>881.13</w:t>
      </w:r>
      <w:r>
        <w:rPr>
          <w:rFonts w:hint="eastAsia" w:ascii="仿宋_GB2312" w:hAnsi="Times New Roman" w:eastAsia="仿宋_GB2312" w:cs="DengXian-Regular"/>
          <w:sz w:val="32"/>
          <w:szCs w:val="32"/>
        </w:rPr>
        <w:t>万元,比2018年度增加</w:t>
      </w:r>
      <w:r>
        <w:rPr>
          <w:rFonts w:hint="eastAsia" w:ascii="仿宋_GB2312" w:hAnsi="Times New Roman" w:eastAsia="仿宋_GB2312" w:cs="DengXian-Regular"/>
          <w:sz w:val="32"/>
          <w:szCs w:val="32"/>
          <w:lang w:val="en-US" w:eastAsia="zh-CN"/>
        </w:rPr>
        <w:t>2.99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0.34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新增纪检人员，人员经费增加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898.16</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42.14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4.92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增加一般谈话室建设经费，另新增纪检办案人员6人，人员经费和办公经费等各项费用均有增加。如图所示：</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p>
    <w:p>
      <w:pPr>
        <w:adjustRightInd w:val="0"/>
        <w:snapToGrid w:val="0"/>
        <w:spacing w:line="580" w:lineRule="exact"/>
        <w:ind w:firstLine="420" w:firstLineChars="200"/>
        <w:rPr>
          <w:rFonts w:ascii="仿宋_GB2312" w:hAnsi="Times New Roman" w:eastAsia="仿宋_GB2312" w:cs="DengXian-Regular"/>
          <w:sz w:val="32"/>
          <w:szCs w:val="32"/>
          <w:highlight w:val="yellow"/>
        </w:rPr>
      </w:pPr>
      <w:r>
        <w:drawing>
          <wp:anchor distT="0" distB="0" distL="114300" distR="114300" simplePos="0" relativeHeight="251682816" behindDoc="0" locked="0" layoutInCell="1" allowOverlap="1">
            <wp:simplePos x="0" y="0"/>
            <wp:positionH relativeFrom="column">
              <wp:posOffset>624840</wp:posOffset>
            </wp:positionH>
            <wp:positionV relativeFrom="paragraph">
              <wp:posOffset>421640</wp:posOffset>
            </wp:positionV>
            <wp:extent cx="4669790" cy="2806700"/>
            <wp:effectExtent l="0" t="0" r="8890" b="12700"/>
            <wp:wrapTopAndBottom/>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preferRelativeResize="0">
                      <a:picLocks noChangeAspect="1"/>
                    </pic:cNvPicPr>
                  </pic:nvPicPr>
                  <pic:blipFill>
                    <a:blip r:embed="rId28"/>
                    <a:stretch>
                      <a:fillRect/>
                    </a:stretch>
                  </pic:blipFill>
                  <pic:spPr>
                    <a:xfrm>
                      <a:off x="0" y="0"/>
                      <a:ext cx="4669790" cy="2806700"/>
                    </a:xfrm>
                    <a:prstGeom prst="rect">
                      <a:avLst/>
                    </a:prstGeom>
                    <a:noFill/>
                    <a:ln>
                      <a:noFill/>
                    </a:ln>
                  </pic:spPr>
                </pic:pic>
              </a:graphicData>
            </a:graphic>
          </wp:anchor>
        </w:drawing>
      </w:r>
    </w:p>
    <w:p>
      <w:pPr>
        <w:adjustRightInd w:val="0"/>
        <w:snapToGrid w:val="0"/>
        <w:spacing w:line="580" w:lineRule="exact"/>
        <w:ind w:firstLine="640" w:firstLineChars="200"/>
        <w:rPr>
          <w:rFonts w:hint="default" w:ascii="仿宋_GB2312" w:hAnsi="Times New Roman" w:eastAsia="仿宋_GB2312" w:cs="DengXian-Regular"/>
          <w:sz w:val="30"/>
          <w:szCs w:val="30"/>
          <w:highlight w:val="none"/>
          <w:lang w:val="en-US" w:eastAsia="zh-CN"/>
        </w:rPr>
      </w:pPr>
      <w:r>
        <w:rPr>
          <w:rFonts w:hint="eastAsia" w:ascii="仿宋_GB2312" w:hAnsi="Times New Roman" w:eastAsia="仿宋_GB2312" w:cs="DengXian-Regular"/>
          <w:sz w:val="32"/>
          <w:szCs w:val="32"/>
          <w:highlight w:val="none"/>
          <w:lang w:val="en-US" w:eastAsia="zh-CN"/>
        </w:rPr>
        <w:t xml:space="preserve">             </w:t>
      </w:r>
      <w:r>
        <w:rPr>
          <w:rFonts w:hint="eastAsia" w:ascii="仿宋_GB2312" w:hAnsi="Times New Roman" w:eastAsia="仿宋_GB2312" w:cs="DengXian-Regular"/>
          <w:sz w:val="30"/>
          <w:szCs w:val="30"/>
          <w:highlight w:val="none"/>
          <w:lang w:val="en-US" w:eastAsia="zh-CN"/>
        </w:rPr>
        <w:t xml:space="preserve"> 2018-2019财政拨款收支情况</w:t>
      </w:r>
    </w:p>
    <w:p>
      <w:pPr>
        <w:adjustRightInd w:val="0"/>
        <w:snapToGrid w:val="0"/>
        <w:spacing w:line="580" w:lineRule="exact"/>
        <w:ind w:firstLine="600" w:firstLineChars="200"/>
        <w:rPr>
          <w:rFonts w:ascii="仿宋_GB2312" w:hAnsi="Times New Roman" w:eastAsia="仿宋_GB2312" w:cs="DengXian-Regular"/>
          <w:sz w:val="30"/>
          <w:szCs w:val="30"/>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本部门2019年度一般公共预算财政拨款收入</w:t>
      </w:r>
      <w:r>
        <w:rPr>
          <w:rFonts w:hint="eastAsia" w:ascii="仿宋_GB2312" w:hAnsi="Times New Roman" w:eastAsia="仿宋_GB2312" w:cs="DengXian-Regular"/>
          <w:sz w:val="32"/>
          <w:szCs w:val="32"/>
          <w:lang w:val="en-US" w:eastAsia="zh-CN"/>
        </w:rPr>
        <w:t>881.13</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104.79</w:t>
      </w:r>
      <w:r>
        <w:rPr>
          <w:rFonts w:hint="eastAsia" w:ascii="仿宋_GB2312" w:hAnsi="Times New Roman" w:eastAsia="仿宋_GB2312" w:cs="DengXian-Regular"/>
          <w:sz w:val="32"/>
          <w:szCs w:val="32"/>
        </w:rPr>
        <w:t>%（如图4）,比年初预算增加</w:t>
      </w:r>
      <w:r>
        <w:rPr>
          <w:rFonts w:hint="eastAsia" w:ascii="仿宋_GB2312" w:hAnsi="Times New Roman" w:eastAsia="仿宋_GB2312" w:cs="DengXian-Regular"/>
          <w:sz w:val="32"/>
          <w:szCs w:val="32"/>
          <w:lang w:val="en-US" w:eastAsia="zh-CN"/>
        </w:rPr>
        <w:t>40.31</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新增纪检办案人员6人，人员经费和办公经费等各项费用均有增加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898.16</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101.93</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57.34</w:t>
      </w:r>
      <w:r>
        <w:rPr>
          <w:rFonts w:hint="eastAsia" w:ascii="仿宋_GB2312" w:hAnsi="Times New Roman" w:eastAsia="仿宋_GB2312" w:cs="DengXian-Regular"/>
          <w:sz w:val="32"/>
          <w:szCs w:val="32"/>
        </w:rPr>
        <w:t>万元，决算数大于预算数主要原因是主要是</w:t>
      </w:r>
      <w:r>
        <w:rPr>
          <w:rFonts w:hint="eastAsia" w:ascii="仿宋_GB2312" w:hAnsi="Times New Roman" w:eastAsia="仿宋_GB2312" w:cs="DengXian-Regular"/>
          <w:sz w:val="32"/>
          <w:szCs w:val="32"/>
          <w:lang w:val="en-US" w:eastAsia="zh-CN"/>
        </w:rPr>
        <w:t>增加一般谈话室建设经费，另新增纪检办案人员6人，人员经费和办公经费等各项费用均有增加。如图所示：</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p>
    <w:p>
      <w:pPr>
        <w:adjustRightInd w:val="0"/>
        <w:snapToGrid w:val="0"/>
        <w:spacing w:line="580" w:lineRule="exact"/>
        <w:ind w:firstLine="420" w:firstLineChars="200"/>
        <w:rPr>
          <w:rFonts w:hint="eastAsia" w:ascii="仿宋_GB2312" w:hAnsi="Times New Roman" w:eastAsia="仿宋_GB2312" w:cs="DengXian-Regular"/>
          <w:sz w:val="32"/>
          <w:szCs w:val="32"/>
          <w:lang w:val="en-US" w:eastAsia="zh-CN"/>
        </w:rPr>
      </w:pPr>
      <w:r>
        <w:drawing>
          <wp:anchor distT="0" distB="0" distL="114300" distR="114300" simplePos="0" relativeHeight="251683840" behindDoc="0" locked="0" layoutInCell="1" allowOverlap="1">
            <wp:simplePos x="0" y="0"/>
            <wp:positionH relativeFrom="column">
              <wp:posOffset>266700</wp:posOffset>
            </wp:positionH>
            <wp:positionV relativeFrom="paragraph">
              <wp:posOffset>-2433320</wp:posOffset>
            </wp:positionV>
            <wp:extent cx="4853940" cy="2917190"/>
            <wp:effectExtent l="0" t="0" r="7620" b="8890"/>
            <wp:wrapSquare wrapText="bothSides"/>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29"/>
                    <a:stretch>
                      <a:fillRect/>
                    </a:stretch>
                  </pic:blipFill>
                  <pic:spPr>
                    <a:xfrm>
                      <a:off x="0" y="0"/>
                      <a:ext cx="4853940" cy="2917190"/>
                    </a:xfrm>
                    <a:prstGeom prst="rect">
                      <a:avLst/>
                    </a:prstGeom>
                    <a:noFill/>
                    <a:ln>
                      <a:noFill/>
                    </a:ln>
                  </pic:spPr>
                </pic:pic>
              </a:graphicData>
            </a:graphic>
          </wp:anchor>
        </w:drawing>
      </w: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1960" w:firstLineChars="700"/>
        <w:rPr>
          <w:rFonts w:hint="eastAsia" w:ascii="仿宋_GB2312" w:hAnsi="Times New Roman" w:eastAsia="仿宋_GB2312" w:cs="DengXian-Regular"/>
          <w:sz w:val="28"/>
          <w:szCs w:val="28"/>
          <w:highlight w:val="yellow"/>
          <w:lang w:eastAsia="zh-CN"/>
        </w:rPr>
      </w:pPr>
      <w:r>
        <w:rPr>
          <w:rFonts w:hint="eastAsia" w:ascii="仿宋_GB2312" w:hAnsi="Times New Roman" w:eastAsia="仿宋_GB2312" w:cs="DengXian-Regular"/>
          <w:sz w:val="28"/>
          <w:szCs w:val="28"/>
          <w:highlight w:val="none"/>
          <w:lang w:eastAsia="zh-CN"/>
        </w:rPr>
        <w:t>财政拨款收支预决算对比情况</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hint="eastAsia" w:ascii="仿宋_GB2312" w:hAnsi="Times New Roman" w:eastAsia="仿宋_GB2312" w:cs="DengXian-Regular"/>
          <w:sz w:val="32"/>
          <w:szCs w:val="32"/>
          <w:lang w:val="en-US" w:eastAsia="zh-CN"/>
        </w:rPr>
        <w:t>898.16</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752.27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83.76</w:t>
      </w:r>
      <w:r>
        <w:rPr>
          <w:rFonts w:hint="eastAsia" w:ascii="仿宋_GB2312" w:hAnsi="Times New Roman" w:eastAsia="仿宋_GB2312" w:cs="DengXian-Regular"/>
          <w:sz w:val="32"/>
          <w:szCs w:val="32"/>
        </w:rPr>
        <w:t>%；社会保障和就业（类）支出</w:t>
      </w:r>
      <w:r>
        <w:rPr>
          <w:rFonts w:hint="eastAsia" w:ascii="仿宋_GB2312" w:hAnsi="Times New Roman" w:eastAsia="仿宋_GB2312" w:cs="DengXian-Regular"/>
          <w:sz w:val="32"/>
          <w:szCs w:val="32"/>
          <w:lang w:val="en-US" w:eastAsia="zh-CN"/>
        </w:rPr>
        <w:t>74.66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8.31</w:t>
      </w:r>
      <w:r>
        <w:rPr>
          <w:rFonts w:hint="eastAsia" w:ascii="仿宋_GB2312" w:hAnsi="Times New Roman" w:eastAsia="仿宋_GB2312" w:cs="DengXian-Regular"/>
          <w:sz w:val="32"/>
          <w:szCs w:val="32"/>
        </w:rPr>
        <w:t>%；住房保障（类）支出</w:t>
      </w:r>
      <w:r>
        <w:rPr>
          <w:rFonts w:hint="eastAsia" w:ascii="仿宋_GB2312" w:hAnsi="Times New Roman" w:eastAsia="仿宋_GB2312" w:cs="DengXian-Regular"/>
          <w:sz w:val="32"/>
          <w:szCs w:val="32"/>
          <w:lang w:val="en-US" w:eastAsia="zh-CN"/>
        </w:rPr>
        <w:t>42.32</w:t>
      </w:r>
      <w:r>
        <w:rPr>
          <w:rFonts w:hint="eastAsia" w:ascii="仿宋_GB2312" w:hAnsi="Times New Roman" w:eastAsia="仿宋_GB2312" w:cs="DengXian-Regular"/>
          <w:sz w:val="32"/>
          <w:szCs w:val="32"/>
        </w:rPr>
        <w:t xml:space="preserve">万元，占 </w:t>
      </w:r>
      <w:r>
        <w:rPr>
          <w:rFonts w:hint="eastAsia" w:ascii="仿宋_GB2312" w:hAnsi="Times New Roman" w:eastAsia="仿宋_GB2312" w:cs="DengXian-Regular"/>
          <w:sz w:val="32"/>
          <w:szCs w:val="32"/>
          <w:lang w:val="en-US" w:eastAsia="zh-CN"/>
        </w:rPr>
        <w:t>4.71</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卫生健康支出</w:t>
      </w:r>
      <w:r>
        <w:rPr>
          <w:rFonts w:hint="eastAsia" w:ascii="仿宋_GB2312" w:hAnsi="Times New Roman" w:eastAsia="仿宋_GB2312" w:cs="DengXian-Regular"/>
          <w:sz w:val="32"/>
          <w:szCs w:val="32"/>
          <w:lang w:val="en-US" w:eastAsia="zh-CN"/>
        </w:rPr>
        <w:t>28.92，占3.22%</w:t>
      </w:r>
      <w:r>
        <w:rPr>
          <w:rFonts w:hint="eastAsia" w:ascii="仿宋_GB2312" w:hAnsi="Times New Roman" w:eastAsia="仿宋_GB2312" w:cs="DengXian-Regular"/>
          <w:sz w:val="32"/>
          <w:szCs w:val="32"/>
        </w:rPr>
        <w:t>。</w:t>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r>
        <w:rPr>
          <w:sz w:val="32"/>
        </w:rPr>
        <mc:AlternateContent>
          <mc:Choice Requires="wps">
            <w:drawing>
              <wp:anchor distT="0" distB="0" distL="114300" distR="114300" simplePos="0" relativeHeight="251676672" behindDoc="1" locked="0" layoutInCell="1" allowOverlap="1">
                <wp:simplePos x="0" y="0"/>
                <wp:positionH relativeFrom="column">
                  <wp:posOffset>1171575</wp:posOffset>
                </wp:positionH>
                <wp:positionV relativeFrom="paragraph">
                  <wp:posOffset>3410585</wp:posOffset>
                </wp:positionV>
                <wp:extent cx="3576320" cy="391795"/>
                <wp:effectExtent l="0" t="0" r="5080" b="4445"/>
                <wp:wrapNone/>
                <wp:docPr id="164" name="文本框 32"/>
                <wp:cNvGraphicFramePr/>
                <a:graphic xmlns:a="http://schemas.openxmlformats.org/drawingml/2006/main">
                  <a:graphicData uri="http://schemas.microsoft.com/office/word/2010/wordprocessingShape">
                    <wps:wsp>
                      <wps:cNvSpPr txBox="1"/>
                      <wps:spPr>
                        <a:xfrm>
                          <a:off x="2225675" y="5232400"/>
                          <a:ext cx="3576320" cy="39179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财政拨款支出决算结构（按功能分类）</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92.25pt;margin-top:268.55pt;height:30.85pt;width:281.6pt;z-index:-251639808;mso-width-relative:page;mso-height-relative:page;" fillcolor="#FFFFFF" filled="t" stroked="f" coordsize="21600,21600" o:gfxdata="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3ew2S1gAAAAsBAAAPAAAAAAAAAAEAIAAA&#10;ACIAAABkcnMvZG93bnJldi54bWxQSwECFAAUAAAACACHTuJA2DeoqEcCAABeBAAADgAAAAAAAAAB&#10;ACAAAAAlAQAAZHJzL2Uyb0RvYy54bWxQSwUGAAAAAAYABgBZAQAA3gU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财政拨款支出决算结构（按功能分类）</w:t>
                      </w:r>
                    </w:p>
                    <w:p>
                      <w:pPr>
                        <w:spacing w:after="160" w:line="480" w:lineRule="auto"/>
                        <w:rPr>
                          <w:rFonts w:ascii="Times New Roman" w:hAnsi="Times New Roman" w:eastAsia="宋体" w:cs="Times New Roman"/>
                          <w:sz w:val="20"/>
                        </w:rPr>
                      </w:pPr>
                    </w:p>
                  </w:txbxContent>
                </v:textbox>
              </v:shape>
            </w:pict>
          </mc:Fallback>
        </mc:AlternateContent>
      </w:r>
      <w:r>
        <w:drawing>
          <wp:anchor distT="0" distB="0" distL="114300" distR="114300" simplePos="0" relativeHeight="251684864" behindDoc="0" locked="0" layoutInCell="1" allowOverlap="1">
            <wp:simplePos x="0" y="0"/>
            <wp:positionH relativeFrom="column">
              <wp:posOffset>320040</wp:posOffset>
            </wp:positionH>
            <wp:positionV relativeFrom="paragraph">
              <wp:posOffset>127000</wp:posOffset>
            </wp:positionV>
            <wp:extent cx="5059045" cy="3046095"/>
            <wp:effectExtent l="0" t="0" r="635" b="1905"/>
            <wp:wrapSquare wrapText="bothSides"/>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30"/>
                    <a:stretch>
                      <a:fillRect/>
                    </a:stretch>
                  </pic:blipFill>
                  <pic:spPr>
                    <a:xfrm>
                      <a:off x="0" y="0"/>
                      <a:ext cx="5059045" cy="3046095"/>
                    </a:xfrm>
                    <a:prstGeom prst="rect">
                      <a:avLst/>
                    </a:prstGeom>
                    <a:noFill/>
                    <a:ln>
                      <a:noFill/>
                    </a:ln>
                  </pic:spPr>
                </pic:pic>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eastAsia="仿宋_GB2312" w:cs="DengXian-Regular"/>
          <w:sz w:val="32"/>
          <w:szCs w:val="32"/>
          <w:lang w:val="en-US" w:eastAsia="zh-CN"/>
        </w:rPr>
        <w:t>898.16</w:t>
      </w:r>
      <w:r>
        <w:rPr>
          <w:rFonts w:hint="eastAsia" w:ascii="仿宋_GB2312" w:hAnsi="Times New Roman" w:eastAsia="仿宋_GB2312" w:cs="DengXian-Regular"/>
          <w:sz w:val="32"/>
          <w:szCs w:val="32"/>
        </w:rPr>
        <w:t xml:space="preserve">万元，其中：人员经费 </w:t>
      </w:r>
      <w:r>
        <w:rPr>
          <w:rFonts w:hint="eastAsia" w:ascii="仿宋_GB2312" w:hAnsi="Times New Roman" w:eastAsia="仿宋_GB2312" w:cs="DengXian-Regular"/>
          <w:sz w:val="32"/>
          <w:szCs w:val="32"/>
          <w:lang w:val="en-US" w:eastAsia="zh-CN"/>
        </w:rPr>
        <w:t>586.22</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住房公积金、医疗费、其他社会保障缴费、其他工资福利支出、离休费、退休费、抚恤金、生活补助、奖励金、其他对个人和家庭的补助支出；公用经费</w:t>
      </w:r>
      <w:r>
        <w:rPr>
          <w:rFonts w:hint="eastAsia" w:ascii="仿宋_GB2312" w:hAnsi="Times New Roman" w:eastAsia="仿宋_GB2312" w:cs="DengXian-Regular"/>
          <w:sz w:val="32"/>
          <w:szCs w:val="32"/>
          <w:lang w:val="en-US" w:eastAsia="zh-CN"/>
        </w:rPr>
        <w:t>155.12</w:t>
      </w:r>
      <w:r>
        <w:rPr>
          <w:rFonts w:hint="eastAsia" w:ascii="仿宋_GB2312" w:hAnsi="Times New Roman" w:eastAsia="仿宋_GB2312" w:cs="DengXian-Regular"/>
          <w:sz w:val="32"/>
          <w:szCs w:val="32"/>
        </w:rPr>
        <w:t>万元，主要包括办公费、印刷费、电费、邮电费、差旅费、维修（护）费、公务接待费、劳务费、工会经费、公务用车运行维护费、其他交通费用、其他商品和服务支出、办公设备购置、公务用车购置。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hint="eastAsia" w:ascii="仿宋_GB2312" w:hAnsi="Times New Roman" w:eastAsia="仿宋_GB2312" w:cs="DengXian-Regular"/>
          <w:sz w:val="32"/>
          <w:szCs w:val="32"/>
          <w:lang w:val="en-US" w:eastAsia="zh-CN"/>
        </w:rPr>
        <w:t>68.49</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116.18</w:t>
      </w:r>
      <w:r>
        <w:rPr>
          <w:rFonts w:hint="eastAsia" w:ascii="仿宋_GB2312" w:hAnsi="Times New Roman" w:eastAsia="仿宋_GB2312" w:cs="DengXian-Regular"/>
          <w:sz w:val="32"/>
          <w:szCs w:val="32"/>
        </w:rPr>
        <w:t>%,较预算增加</w:t>
      </w:r>
      <w:r>
        <w:rPr>
          <w:rFonts w:hint="eastAsia" w:ascii="仿宋_GB2312" w:hAnsi="Times New Roman" w:eastAsia="仿宋_GB2312" w:cs="DengXian-Regular"/>
          <w:sz w:val="32"/>
          <w:szCs w:val="32"/>
          <w:lang w:val="en-US" w:eastAsia="zh-CN"/>
        </w:rPr>
        <w:t>9.54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16.18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增加公务用车购置费</w:t>
      </w:r>
      <w:r>
        <w:rPr>
          <w:rFonts w:hint="eastAsia" w:ascii="仿宋_GB2312" w:hAnsi="Times New Roman" w:eastAsia="仿宋_GB2312" w:cs="DengXian-Regular"/>
          <w:sz w:val="32"/>
          <w:szCs w:val="32"/>
        </w:rPr>
        <w:t>；较2018年度增加</w:t>
      </w:r>
      <w:r>
        <w:rPr>
          <w:rFonts w:hint="eastAsia" w:ascii="仿宋_GB2312" w:hAnsi="Times New Roman" w:eastAsia="仿宋_GB2312" w:cs="DengXian-Regular"/>
          <w:sz w:val="32"/>
          <w:szCs w:val="32"/>
          <w:lang w:val="en-US" w:eastAsia="zh-CN"/>
        </w:rPr>
        <w:t>33.36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51.22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新购置</w:t>
      </w:r>
      <w:r>
        <w:rPr>
          <w:rFonts w:hint="eastAsia" w:ascii="仿宋_GB2312" w:hAnsi="Times New Roman" w:eastAsia="仿宋_GB2312" w:cs="DengXian-Regular"/>
          <w:sz w:val="32"/>
          <w:szCs w:val="32"/>
          <w:lang w:val="en-US" w:eastAsia="zh-CN"/>
        </w:rPr>
        <w:t>2辆新能源汽车</w:t>
      </w:r>
      <w:r>
        <w:rPr>
          <w:rFonts w:hint="eastAsia" w:ascii="仿宋_GB2312" w:hAnsi="Times New Roman" w:eastAsia="仿宋_GB2312" w:cs="DengXian-Regular"/>
          <w:sz w:val="32"/>
          <w:szCs w:val="32"/>
        </w:rPr>
        <w:t>。具体情况如下：</w:t>
      </w:r>
    </w:p>
    <w:p>
      <w:pPr>
        <w:ind w:firstLine="643" w:firstLineChars="200"/>
        <w:rPr>
          <w:rFonts w:ascii="仿宋_GB2312" w:hAnsi="宋体" w:eastAsia="仿宋_GB2312" w:cs="宋体"/>
          <w:color w:val="000000"/>
          <w:kern w:val="0"/>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w:t>
      </w:r>
      <w:r>
        <w:rPr>
          <w:rFonts w:hint="eastAsia" w:ascii="仿宋_GB2312" w:hAnsi="宋体" w:eastAsia="仿宋_GB2312" w:cs="宋体"/>
          <w:color w:val="000000"/>
          <w:kern w:val="0"/>
          <w:sz w:val="32"/>
          <w:szCs w:val="32"/>
        </w:rPr>
        <w:t>因公出国（境）费支出较年初预算持平</w:t>
      </w:r>
      <w:r>
        <w:rPr>
          <w:rFonts w:hint="eastAsia" w:ascii="仿宋_GB2312" w:hAnsi="宋体" w:eastAsia="仿宋_GB2312" w:cs="宋体"/>
          <w:color w:val="000000"/>
          <w:kern w:val="0"/>
          <w:sz w:val="32"/>
          <w:szCs w:val="32"/>
          <w:lang w:eastAsia="zh-CN"/>
        </w:rPr>
        <w:t>、与上年决算持平，</w:t>
      </w:r>
      <w:r>
        <w:rPr>
          <w:rFonts w:hint="eastAsia" w:ascii="仿宋_GB2312" w:hAnsi="宋体" w:eastAsia="仿宋_GB2312" w:cs="宋体"/>
          <w:color w:val="000000"/>
          <w:kern w:val="0"/>
          <w:sz w:val="32"/>
          <w:szCs w:val="32"/>
        </w:rPr>
        <w:t>无增减情况</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主要是本单位没有组织出国（境）团组。</w:t>
      </w:r>
    </w:p>
    <w:p>
      <w:pPr>
        <w:adjustRightInd w:val="0"/>
        <w:snapToGrid w:val="0"/>
        <w:spacing w:after="0" w:line="580" w:lineRule="exact"/>
        <w:ind w:firstLine="643" w:firstLineChars="200"/>
        <w:rPr>
          <w:rFonts w:hint="eastAsia" w:ascii="仿宋_GB2312" w:eastAsia="仿宋_GB2312" w:cs="DengXian-Regular"/>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60.62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本部门2019年度公务用车购置费较预算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31.3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31.3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2019年</w:t>
      </w:r>
      <w:r>
        <w:rPr>
          <w:rFonts w:hint="eastAsia" w:ascii="仿宋_GB2312" w:hAnsi="Times New Roman" w:eastAsia="仿宋_GB2312" w:cs="DengXian-Regular"/>
          <w:sz w:val="32"/>
          <w:szCs w:val="32"/>
          <w:lang w:eastAsia="zh-CN"/>
        </w:rPr>
        <w:t>新购置</w:t>
      </w:r>
      <w:r>
        <w:rPr>
          <w:rFonts w:hint="eastAsia" w:ascii="仿宋_GB2312" w:hAnsi="Times New Roman" w:eastAsia="仿宋_GB2312" w:cs="DengXian-Regular"/>
          <w:sz w:val="32"/>
          <w:szCs w:val="32"/>
          <w:lang w:val="en-US" w:eastAsia="zh-CN"/>
        </w:rPr>
        <w:t>2辆新能源汽车</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公务用车</w:t>
      </w:r>
      <w:r>
        <w:rPr>
          <w:rFonts w:hint="eastAsia" w:ascii="仿宋_GB2312" w:hAnsi="Times New Roman" w:eastAsia="仿宋_GB2312" w:cs="DengXian-Regular"/>
          <w:sz w:val="32"/>
          <w:szCs w:val="32"/>
        </w:rPr>
        <w:t>运行</w:t>
      </w:r>
      <w:r>
        <w:rPr>
          <w:rFonts w:hint="eastAsia" w:ascii="仿宋_GB2312" w:hAnsi="Times New Roman" w:eastAsia="仿宋_GB2312" w:cs="DengXian-Regular"/>
          <w:sz w:val="32"/>
          <w:szCs w:val="32"/>
          <w:lang w:eastAsia="zh-CN"/>
        </w:rPr>
        <w:t>维护费</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5.81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16.54</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主要是认真贯彻落实中央“八项规定”精神和厉行节约要求，严格控制公车使用。</w:t>
      </w:r>
    </w:p>
    <w:p>
      <w:pPr>
        <w:adjustRightInd w:val="0"/>
        <w:snapToGrid w:val="0"/>
        <w:spacing w:after="0" w:line="580" w:lineRule="exact"/>
        <w:ind w:firstLine="643" w:firstLineChars="200"/>
        <w:rPr>
          <w:rFonts w:ascii="仿宋_GB2312" w:hAnsi="Times New Roman" w:eastAsia="仿宋_GB2312" w:cs="DengXian-Bold"/>
          <w:b/>
          <w:bCs/>
          <w:sz w:val="32"/>
          <w:szCs w:val="32"/>
        </w:rPr>
      </w:pP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31.3</w:t>
      </w:r>
      <w:r>
        <w:rPr>
          <w:rFonts w:hint="eastAsia" w:ascii="仿宋_GB2312" w:hAnsi="Times New Roman" w:eastAsia="仿宋_GB2312" w:cs="DengXian-Regular"/>
          <w:sz w:val="32"/>
          <w:szCs w:val="32"/>
        </w:rPr>
        <w:t>万元。公务用车购置费支出较预算增加</w:t>
      </w:r>
      <w:r>
        <w:rPr>
          <w:rFonts w:hint="eastAsia" w:ascii="仿宋_GB2312" w:hAnsi="Times New Roman" w:eastAsia="仿宋_GB2312" w:cs="DengXian-Regular"/>
          <w:sz w:val="32"/>
          <w:szCs w:val="32"/>
          <w:lang w:val="en-US" w:eastAsia="zh-CN"/>
        </w:rPr>
        <w:t>31.3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2019年</w:t>
      </w:r>
      <w:r>
        <w:rPr>
          <w:rFonts w:hint="eastAsia" w:ascii="仿宋_GB2312" w:hAnsi="Times New Roman" w:eastAsia="仿宋_GB2312" w:cs="DengXian-Regular"/>
          <w:sz w:val="32"/>
          <w:szCs w:val="32"/>
          <w:lang w:eastAsia="zh-CN"/>
        </w:rPr>
        <w:t>新购置</w:t>
      </w:r>
      <w:r>
        <w:rPr>
          <w:rFonts w:hint="eastAsia" w:ascii="仿宋_GB2312" w:hAnsi="Times New Roman" w:eastAsia="仿宋_GB2312" w:cs="DengXian-Regular"/>
          <w:sz w:val="32"/>
          <w:szCs w:val="32"/>
          <w:lang w:val="en-US" w:eastAsia="zh-CN"/>
        </w:rPr>
        <w:t>2辆新能源汽车</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31.3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2019年</w:t>
      </w:r>
      <w:r>
        <w:rPr>
          <w:rFonts w:hint="eastAsia" w:ascii="仿宋_GB2312" w:hAnsi="Times New Roman" w:eastAsia="仿宋_GB2312" w:cs="DengXian-Regular"/>
          <w:sz w:val="32"/>
          <w:szCs w:val="32"/>
          <w:lang w:eastAsia="zh-CN"/>
        </w:rPr>
        <w:t>新购置</w:t>
      </w:r>
      <w:r>
        <w:rPr>
          <w:rFonts w:hint="eastAsia" w:ascii="仿宋_GB2312" w:hAnsi="Times New Roman" w:eastAsia="仿宋_GB2312" w:cs="DengXian-Regular"/>
          <w:sz w:val="32"/>
          <w:szCs w:val="32"/>
          <w:lang w:val="en-US" w:eastAsia="zh-CN"/>
        </w:rPr>
        <w:t>2辆新能源汽车</w:t>
      </w:r>
      <w:r>
        <w:rPr>
          <w:rFonts w:hint="eastAsia" w:ascii="仿宋_GB2312" w:hAnsi="Times New Roman" w:eastAsia="仿宋_GB2312" w:cs="DengXian-Regular"/>
          <w:sz w:val="32"/>
          <w:szCs w:val="32"/>
        </w:rPr>
        <w:t>。</w:t>
      </w:r>
    </w:p>
    <w:p>
      <w:pPr>
        <w:adjustRightInd w:val="0"/>
        <w:snapToGrid w:val="0"/>
        <w:spacing w:after="0"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19.98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40.53</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主要是认真贯彻落实中央“八项规定”精神和厉行节约要求，严格控制公务接待和公车使用</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5.81</w:t>
      </w:r>
      <w:r>
        <w:rPr>
          <w:rFonts w:hint="eastAsia" w:ascii="仿宋_GB2312" w:hAnsi="Times New Roman" w:eastAsia="仿宋_GB2312" w:cs="DengXian-Regular"/>
          <w:sz w:val="32"/>
          <w:szCs w:val="32"/>
        </w:rPr>
        <w:t>万元，增降低</w:t>
      </w:r>
      <w:r>
        <w:rPr>
          <w:rFonts w:hint="eastAsia" w:ascii="仿宋_GB2312" w:hAnsi="Times New Roman" w:eastAsia="仿宋_GB2312" w:cs="DengXian-Regular"/>
          <w:sz w:val="32"/>
          <w:szCs w:val="32"/>
          <w:lang w:val="en-US" w:eastAsia="zh-CN"/>
        </w:rPr>
        <w:t>16.54</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主要是认真贯彻落实中央“八项规定”精神和厉行节约要求，严格控制公车使用。</w:t>
      </w:r>
    </w:p>
    <w:p>
      <w:pPr>
        <w:adjustRightInd w:val="0"/>
        <w:snapToGrid w:val="0"/>
        <w:spacing w:after="0"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7.87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hint="eastAsia" w:ascii="仿宋_GB2312" w:hAnsi="Times New Roman" w:eastAsia="仿宋_GB2312" w:cs="DengXian-Regular"/>
          <w:sz w:val="32"/>
          <w:szCs w:val="32"/>
          <w:lang w:val="en-US" w:eastAsia="zh-CN"/>
        </w:rPr>
        <w:t>28</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265</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1.78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18.45</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认真贯彻落实中央“八项规定”精神和厉行节约要求，严格控制公务接待</w:t>
      </w:r>
      <w:r>
        <w:rPr>
          <w:rFonts w:hint="eastAsia" w:ascii="仿宋_GB2312" w:eastAsia="仿宋_GB2312" w:cs="DengXian-Regular"/>
          <w:sz w:val="32"/>
          <w:szCs w:val="32"/>
          <w:lang w:eastAsia="zh-CN"/>
        </w:rPr>
        <w:t>标准和陪客人数</w:t>
      </w:r>
      <w:r>
        <w:rPr>
          <w:rFonts w:hint="eastAsia" w:ascii="仿宋_GB2312" w:hAnsi="Times New Roman" w:eastAsia="仿宋_GB2312" w:cs="DengXian-Regular"/>
          <w:sz w:val="32"/>
          <w:szCs w:val="32"/>
        </w:rPr>
        <w:t>；较上年度</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3.02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62.27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2019年上级调度案件多，时间长，接待费增加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174</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办案专项经费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廉政教育中心修缮费</w:t>
      </w:r>
      <w:r>
        <w:rPr>
          <w:rFonts w:hint="eastAsia" w:ascii="仿宋_GB2312" w:hAnsi="仿宋_GB2312" w:eastAsia="仿宋_GB2312" w:cs="仿宋_GB2312"/>
          <w:sz w:val="32"/>
          <w:szCs w:val="32"/>
        </w:rPr>
        <w:t>”等项目分别委托部内评审机构开展绩效评价。从评价情况来看，</w:t>
      </w:r>
      <w:r>
        <w:rPr>
          <w:rFonts w:hint="eastAsia" w:ascii="仿宋_GB2312" w:hAnsi="仿宋_GB2312" w:eastAsia="仿宋_GB2312" w:cs="仿宋_GB2312"/>
          <w:sz w:val="32"/>
          <w:szCs w:val="32"/>
          <w:lang w:eastAsia="zh-CN"/>
        </w:rPr>
        <w:t>我委严格按</w:t>
      </w:r>
      <w:r>
        <w:rPr>
          <w:rFonts w:hint="eastAsia" w:ascii="仿宋_GB2312" w:hAnsi="仿宋_GB2312" w:eastAsia="仿宋_GB2312" w:cs="仿宋_GB2312"/>
          <w:sz w:val="32"/>
          <w:szCs w:val="32"/>
          <w:lang w:val="en-US" w:eastAsia="zh-CN"/>
        </w:rPr>
        <w:t>2019年年度总体目标和职责分类绩效目标，紧持统筹兼顾、突出重点，完善目标管理，强化运行监控，全面推动实施，较好地完成各项工作人员任务。对项目的申报、审核、实施、管理、资金拨付、绩效管理等内容进行明确，为进一步规范资金支出，加强预算绩效管理，提高财政资金使用效益等提供制度保障。</w:t>
      </w:r>
    </w:p>
    <w:p>
      <w:pPr>
        <w:adjustRightInd w:val="0"/>
        <w:snapToGrid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参与本次评价的项目共计2个，评价等级均为“优”。</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重点项目“办案经费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绩效自评结果。</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案专项经费项目自评综述：根据年初设定的绩效目标，办案专项经费项目绩效自评得分为10分（绩效自评表附后）。全年预算数为18万元，执行数为18万元，完成预算的100%。项目绩效目标完成情况：一是纪检审查率。处理举报线索占受理举报线索比例大于95%。二是案件结案率。办结案件数占立案数比例大于95%。三是监督检查发现线索处置率。监督检查发现线索处置率大于95%。发现的主要问题及原因：2019年较好地完成了工作任务，但是还存在一些不足。查处案件数量较多，办案人员差旅费发放不及时，外出取证人员存在先行垫付的现象。今后要加强后勤保障力度，提高经费使用效率。</w:t>
      </w:r>
    </w:p>
    <w:p>
      <w:pPr>
        <w:adjustRightInd w:val="0"/>
        <w:snapToGrid w:val="0"/>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eastAsia="仿宋_GB2312" w:cs="DengXian-Regular"/>
          <w:sz w:val="32"/>
          <w:szCs w:val="32"/>
          <w:lang w:val="en-US" w:eastAsia="zh-CN"/>
        </w:rPr>
        <w:t>194.45</w:t>
      </w:r>
      <w:r>
        <w:rPr>
          <w:rFonts w:hint="eastAsia" w:ascii="仿宋_GB2312" w:hAnsi="Times New Roman" w:eastAsia="仿宋_GB2312" w:cs="DengXian-Regular"/>
          <w:sz w:val="32"/>
          <w:szCs w:val="32"/>
        </w:rPr>
        <w:t>万元，比2018年度增加</w:t>
      </w:r>
      <w:r>
        <w:rPr>
          <w:rFonts w:hint="eastAsia" w:ascii="仿宋_GB2312" w:hAnsi="Times New Roman" w:eastAsia="仿宋_GB2312" w:cs="DengXian-Regular"/>
          <w:sz w:val="32"/>
          <w:szCs w:val="32"/>
          <w:lang w:val="en-US" w:eastAsia="zh-CN"/>
        </w:rPr>
        <w:t>65.08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50.31</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增加廉政教育中心修缮费和车辆购置费。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hint="eastAsia" w:ascii="仿宋_GB2312" w:hAnsi="Times New Roman" w:eastAsia="仿宋_GB2312" w:cs="DengXian-Regular"/>
          <w:sz w:val="32"/>
          <w:szCs w:val="32"/>
          <w:lang w:val="en-US" w:eastAsia="zh-CN"/>
        </w:rPr>
        <w:t>31.3</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31.3</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31.3</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100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截至2019年12月31日，本部门共有车辆</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辆，比上年减少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eastAsia="zh-CN"/>
        </w:rPr>
        <w:t>上年车辆报废</w:t>
      </w:r>
      <w:r>
        <w:rPr>
          <w:rFonts w:hint="eastAsia" w:ascii="仿宋_GB2312" w:hAnsi="Times New Roman" w:eastAsia="仿宋_GB2312" w:cs="DengXian-Regular"/>
          <w:sz w:val="32"/>
          <w:szCs w:val="32"/>
          <w:lang w:val="en-US" w:eastAsia="zh-CN"/>
        </w:rPr>
        <w:t>3辆，2019年新购置2辆，还有差一辆</w:t>
      </w:r>
      <w:r>
        <w:rPr>
          <w:rFonts w:hint="eastAsia" w:ascii="仿宋_GB2312" w:hAnsi="Times New Roman" w:eastAsia="仿宋_GB2312" w:cs="DengXian-Regular"/>
          <w:sz w:val="32"/>
          <w:szCs w:val="32"/>
        </w:rPr>
        <w:t>。其中，机要通信用车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台（套），比上年增减</w:t>
      </w:r>
      <w:r>
        <w:rPr>
          <w:rFonts w:hint="eastAsia" w:ascii="仿宋_GB2312" w:hAnsi="Times New Roman" w:eastAsia="仿宋_GB2312" w:cs="DengXian-Regular"/>
          <w:sz w:val="32"/>
          <w:szCs w:val="32"/>
          <w:lang w:eastAsia="zh-CN"/>
        </w:rPr>
        <w:t>无变化</w:t>
      </w:r>
      <w:r>
        <w:rPr>
          <w:rFonts w:hint="eastAsia" w:ascii="仿宋_GB2312" w:hAnsi="Times New Roman" w:eastAsia="仿宋_GB2312" w:cs="DengXian-Regular"/>
          <w:sz w:val="32"/>
          <w:szCs w:val="32"/>
        </w:rPr>
        <w:t xml:space="preserve">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比上年增加减</w:t>
      </w:r>
      <w:r>
        <w:rPr>
          <w:rFonts w:hint="eastAsia" w:ascii="仿宋_GB2312" w:hAnsi="Times New Roman" w:eastAsia="仿宋_GB2312" w:cs="DengXian-Regular"/>
          <w:sz w:val="32"/>
          <w:szCs w:val="32"/>
          <w:lang w:eastAsia="zh-CN"/>
        </w:rPr>
        <w:t>无变化</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 1. 本部门2019年度政府性基金预算财政拨款收入支出决算表</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国有资本经营预算财政拨款支出决算表无收支及结转结余情况，故政府性基金预算财政拨款收入支出决算表</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5" w:type="first"/>
          <w:footerReference r:id="rId17" w:type="first"/>
          <w:headerReference r:id="rId14" w:type="default"/>
          <w:footerReference r:id="rId16"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8720"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78720;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6"/>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Pr>
        <w:tabs>
          <w:tab w:val="left" w:pos="886"/>
        </w:tabs>
        <w:jc w:val="left"/>
        <w:sectPr>
          <w:headerReference r:id="rId18" w:type="first"/>
          <w:pgSz w:w="11906" w:h="16838"/>
          <w:pgMar w:top="2041" w:right="1531" w:bottom="2041" w:left="1531" w:header="851" w:footer="992" w:gutter="0"/>
          <w:pgNumType w:fmt="numberInDash"/>
          <w:cols w:space="0" w:num="1"/>
          <w:titlePg/>
          <w:docGrid w:type="lines" w:linePitch="312" w:charSpace="0"/>
        </w:sect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60" w:lineRule="exact"/>
        <w:ind w:firstLine="643" w:firstLineChars="200"/>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sectPr>
          <w:headerReference r:id="rId19" w:type="default"/>
          <w:pgSz w:w="11906" w:h="16838"/>
          <w:pgMar w:top="2098" w:right="1474" w:bottom="1985" w:left="1588" w:header="851" w:footer="992" w:gutter="0"/>
          <w:pgNumType w:fmt="numberInDash"/>
          <w:cols w:space="425" w:num="1"/>
          <w:docGrid w:type="lines" w:linePitch="312" w:charSpace="0"/>
        </w:sectPr>
      </w:pPr>
    </w:p>
    <w:p/>
    <w:p>
      <w:pPr>
        <w:tabs>
          <w:tab w:val="left" w:pos="235"/>
        </w:tabs>
        <w:jc w:val="left"/>
        <w:sectPr>
          <w:headerReference r:id="rId20" w:type="default"/>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79744" behindDoc="0" locked="0" layoutInCell="1" allowOverlap="1">
                <wp:simplePos x="0" y="0"/>
                <wp:positionH relativeFrom="column">
                  <wp:posOffset>-1042035</wp:posOffset>
                </wp:positionH>
                <wp:positionV relativeFrom="paragraph">
                  <wp:posOffset>1420495</wp:posOffset>
                </wp:positionV>
                <wp:extent cx="7793355" cy="3341370"/>
                <wp:effectExtent l="0" t="0" r="17145" b="11430"/>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11.85pt;height:263.1pt;width:613.65pt;z-index:251679744;v-text-anchor:middle;mso-width-relative:page;mso-height-relative:page;" fillcolor="#FFD966" filled="t" stroked="t" coordsize="21600,21600" o:gfxdata="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Bl92d0AAAANAQAADwAAAAAAAAABACAAAAAiAAAAZHJzL2Rvd25yZXYueG1sUEsBAhQAFAAA&#10;AAgAh07iQHsOYltcAgAAugQAAA4AAAAAAAAAAQAgAAAALAEAAGRycy9lMm9Eb2MueG1sUEsFBgAA&#10;AAAGAAYAWQEAAPoFAAAAAA==&#10;">
                <v:fill type="pattern" on="t" color2="#FFFFFF [3212]" focussize="0,0" r:id="rId26"/>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881.13</w:t>
            </w: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752.27</w:t>
            </w: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74.66</w:t>
            </w: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28.92</w:t>
            </w: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42.32</w:t>
            </w: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881.43</w:t>
            </w: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898.16</w:t>
            </w: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23.42</w:t>
            </w: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6.39</w:t>
            </w: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904.55</w:t>
            </w: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904.55</w:t>
            </w:r>
            <w:r>
              <w:rPr>
                <w:rFonts w:hint="eastAsia" w:ascii="宋体" w:hAnsi="宋体" w:eastAsia="宋体" w:cs="宋体"/>
                <w:color w:val="000000"/>
                <w:kern w:val="0"/>
                <w:sz w:val="22"/>
                <w:lang w:bidi="ar"/>
              </w:rPr>
              <w:t>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注：本表反映部门本年度的总收支和年末结转结余情况。</w:t>
            </w:r>
          </w:p>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eastAsia="宋体" w:cs="宋体"/>
                <w:color w:val="000000"/>
                <w:kern w:val="0"/>
                <w:sz w:val="22"/>
                <w:lang w:bidi="ar"/>
              </w:rPr>
            </w:pPr>
          </w:p>
        </w:tc>
      </w:tr>
    </w:tbl>
    <w:tbl>
      <w:tblPr>
        <w:tblStyle w:val="6"/>
        <w:tblW w:w="9689" w:type="dxa"/>
        <w:jc w:val="center"/>
        <w:tblLayout w:type="fixed"/>
        <w:tblCellMar>
          <w:top w:w="0" w:type="dxa"/>
          <w:left w:w="0" w:type="dxa"/>
          <w:bottom w:w="0" w:type="dxa"/>
          <w:right w:w="0" w:type="dxa"/>
        </w:tblCellMar>
      </w:tblPr>
      <w:tblGrid>
        <w:gridCol w:w="741"/>
        <w:gridCol w:w="43"/>
        <w:gridCol w:w="282"/>
        <w:gridCol w:w="3399"/>
        <w:gridCol w:w="1088"/>
        <w:gridCol w:w="984"/>
        <w:gridCol w:w="519"/>
        <w:gridCol w:w="656"/>
        <w:gridCol w:w="656"/>
        <w:gridCol w:w="656"/>
        <w:gridCol w:w="665"/>
      </w:tblGrid>
      <w:tr>
        <w:tblPrEx>
          <w:tblCellMar>
            <w:top w:w="0" w:type="dxa"/>
            <w:left w:w="0" w:type="dxa"/>
            <w:bottom w:w="0" w:type="dxa"/>
            <w:right w:w="0" w:type="dxa"/>
          </w:tblCellMar>
        </w:tblPrEx>
        <w:trPr>
          <w:trHeight w:val="670" w:hRule="atLeast"/>
          <w:jc w:val="center"/>
        </w:trPr>
        <w:tc>
          <w:tcPr>
            <w:tcW w:w="9689"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lang w:bidi="ar"/>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CellMar>
            <w:top w:w="0" w:type="dxa"/>
            <w:left w:w="0" w:type="dxa"/>
            <w:bottom w:w="0" w:type="dxa"/>
            <w:right w:w="0" w:type="dxa"/>
          </w:tblCellMar>
        </w:tblPrEx>
        <w:trPr>
          <w:trHeight w:val="357" w:hRule="atLeast"/>
          <w:jc w:val="center"/>
        </w:trPr>
        <w:tc>
          <w:tcPr>
            <w:tcW w:w="7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8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2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7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8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7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44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08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9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5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6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6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6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6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CellMar>
            <w:top w:w="0" w:type="dxa"/>
            <w:left w:w="0" w:type="dxa"/>
            <w:bottom w:w="0" w:type="dxa"/>
            <w:right w:w="0" w:type="dxa"/>
          </w:tblCellMar>
        </w:tblPrEx>
        <w:trPr>
          <w:trHeight w:val="380" w:hRule="atLeast"/>
          <w:jc w:val="center"/>
        </w:trPr>
        <w:tc>
          <w:tcPr>
            <w:tcW w:w="10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39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0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9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9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446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446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881.13</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kern w:val="2"/>
                <w:sz w:val="22"/>
                <w:szCs w:val="22"/>
                <w:lang w:val="en-US" w:eastAsia="zh-CN" w:bidi="ar-SA"/>
              </w:rPr>
            </w:pPr>
            <w:r>
              <w:rPr>
                <w:rFonts w:hint="eastAsia" w:ascii="宋体" w:hAnsi="宋体" w:eastAsia="宋体" w:cs="宋体"/>
                <w:b/>
                <w:color w:val="000000"/>
                <w:sz w:val="22"/>
                <w:lang w:val="en-US" w:eastAsia="zh-CN"/>
              </w:rPr>
              <w:t>881.13</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一般公共服务支出</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733.4</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733.4</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纪检监察事务</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733.4</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733.4</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2011101</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行政运行</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608.36</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608.36</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2011102</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一般行政管理事务</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85</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85</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2011104</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大案要案查处</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18</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18</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2011150</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事业运行</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22.04</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22.04</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社会保障和就业支出</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75.45</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75.45</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行政事业单位离退休</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72.13</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72.13</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2"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2080505</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18"/>
                <w:szCs w:val="18"/>
                <w:lang w:eastAsia="zh-CN"/>
              </w:rPr>
              <w:t>机关事业基本养老保险缴费支出</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72.13</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72.13</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20899</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其他社会保障和就业支出</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3.32</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3.32</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2089901</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其他社会保障和就业支出</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3.32</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3.32</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卫生健康支出</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28.92</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28.92</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行政事业单位医疗</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28.92</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28.92</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2101101</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行政单位医疗</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27.87</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27.87</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2101102</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事业单位医疗</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1.05</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1.05</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221</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住房保障支出</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43.37</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43.37</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22102</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住房改革支出</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43.37</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43.37</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2210201</w:t>
            </w:r>
          </w:p>
        </w:tc>
        <w:tc>
          <w:tcPr>
            <w:tcW w:w="3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住房公积金</w:t>
            </w:r>
          </w:p>
        </w:tc>
        <w:tc>
          <w:tcPr>
            <w:tcW w:w="1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43.37</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43.37</w:t>
            </w: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689"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240"/>
        <w:gridCol w:w="1926"/>
        <w:gridCol w:w="924"/>
        <w:gridCol w:w="1020"/>
        <w:gridCol w:w="948"/>
        <w:gridCol w:w="1056"/>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2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2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2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2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23" w:hRule="atLeast"/>
          <w:jc w:val="center"/>
        </w:trPr>
        <w:tc>
          <w:tcPr>
            <w:tcW w:w="31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9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0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94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0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0" w:type="dxa"/>
            <w:bottom w:w="0" w:type="dxa"/>
            <w:right w:w="0" w:type="dxa"/>
          </w:tblCellMar>
        </w:tblPrEx>
        <w:trPr>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9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1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23" w:hRule="atLeast"/>
          <w:jc w:val="center"/>
        </w:trPr>
        <w:tc>
          <w:tcPr>
            <w:tcW w:w="31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898.16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797.54</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100.62</w:t>
            </w: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201</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一般公共服务支出</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752.27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651.65</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100.62</w:t>
            </w: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20111</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纪检监察事务</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752.27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651.65</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100.62</w:t>
            </w: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2011101</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行政运行</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629.61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629.61</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2011102</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一般行政管理事务</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84.12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84.12</w:t>
            </w: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2011104</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大案要案查处</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16.5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16.5</w:t>
            </w: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2011150</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事业运行</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22.04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22.04</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208</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社会保障和就业支出</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74.66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74.66</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20805</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行政事业单位离退休</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71.77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71.77</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2080505</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机关事业基本养老保险缴费支出</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71.77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71.77</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20899</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其他社会保障和就业支出</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2.9</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2089901</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其他社会保障和就业支出</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2.9</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210</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卫生健康支出</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28.92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28.92</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21011</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行政事业单位医疗</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28.92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28.92</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2101101</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行政单位医疗</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27.87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27.87</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2101102</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事业单位医疗</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1.05</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221</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住房保障支出</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42.32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42.32</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22102</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lang w:eastAsia="zh-CN"/>
              </w:rPr>
              <w:t>住房改革支出</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42.32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42.32</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2210201</w:t>
            </w:r>
          </w:p>
        </w:tc>
        <w:tc>
          <w:tcPr>
            <w:tcW w:w="1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lang w:eastAsia="zh-CN"/>
              </w:rPr>
              <w:t>住房公积金</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42.32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42.32</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注：本表反映部门本年度各项支出情况。</w:t>
            </w:r>
          </w:p>
        </w:tc>
      </w:tr>
    </w:tbl>
    <w:p>
      <w:r>
        <w:br w:type="page"/>
      </w:r>
    </w:p>
    <w:tbl>
      <w:tblPr>
        <w:tblStyle w:val="6"/>
        <w:tblW w:w="9700" w:type="dxa"/>
        <w:jc w:val="center"/>
        <w:tblLayout w:type="fixed"/>
        <w:tblCellMar>
          <w:top w:w="0" w:type="dxa"/>
          <w:left w:w="0" w:type="dxa"/>
          <w:bottom w:w="0" w:type="dxa"/>
          <w:right w:w="0" w:type="dxa"/>
        </w:tblCellMar>
      </w:tblPr>
      <w:tblGrid>
        <w:gridCol w:w="2974"/>
        <w:gridCol w:w="429"/>
        <w:gridCol w:w="789"/>
        <w:gridCol w:w="2881"/>
        <w:gridCol w:w="515"/>
        <w:gridCol w:w="704"/>
        <w:gridCol w:w="718"/>
        <w:gridCol w:w="690"/>
      </w:tblGrid>
      <w:tr>
        <w:tblPrEx>
          <w:tblCellMar>
            <w:top w:w="0" w:type="dxa"/>
            <w:left w:w="0" w:type="dxa"/>
            <w:bottom w:w="0" w:type="dxa"/>
            <w:right w:w="0" w:type="dxa"/>
          </w:tblCellMar>
        </w:tblPrEx>
        <w:trPr>
          <w:trHeight w:val="1034" w:hRule="atLeast"/>
          <w:jc w:val="center"/>
        </w:trPr>
        <w:tc>
          <w:tcPr>
            <w:tcW w:w="970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546" w:hRule="atLeast"/>
          <w:jc w:val="center"/>
        </w:trPr>
        <w:tc>
          <w:tcPr>
            <w:tcW w:w="29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8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1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trHeight w:val="546" w:hRule="atLeast"/>
          <w:jc w:val="center"/>
        </w:trPr>
        <w:tc>
          <w:tcPr>
            <w:tcW w:w="29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8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1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596" w:hRule="atLeast"/>
          <w:jc w:val="center"/>
        </w:trPr>
        <w:tc>
          <w:tcPr>
            <w:tcW w:w="4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     入</w:t>
            </w:r>
          </w:p>
        </w:tc>
        <w:tc>
          <w:tcPr>
            <w:tcW w:w="5508"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     出</w:t>
            </w:r>
          </w:p>
        </w:tc>
      </w:tr>
      <w:tr>
        <w:tblPrEx>
          <w:tblCellMar>
            <w:top w:w="0" w:type="dxa"/>
            <w:left w:w="0" w:type="dxa"/>
            <w:bottom w:w="0" w:type="dxa"/>
            <w:right w:w="0" w:type="dxa"/>
          </w:tblCellMar>
        </w:tblPrEx>
        <w:trPr>
          <w:trHeight w:val="596" w:hRule="atLeast"/>
          <w:jc w:val="center"/>
        </w:trPr>
        <w:tc>
          <w:tcPr>
            <w:tcW w:w="297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4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28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70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6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r>
      <w:tr>
        <w:tblPrEx>
          <w:tblCellMar>
            <w:top w:w="0" w:type="dxa"/>
            <w:left w:w="0" w:type="dxa"/>
            <w:bottom w:w="0" w:type="dxa"/>
            <w:right w:w="0" w:type="dxa"/>
          </w:tblCellMar>
        </w:tblPrEx>
        <w:trPr>
          <w:trHeight w:val="1508" w:hRule="atLeast"/>
          <w:jc w:val="center"/>
        </w:trPr>
        <w:tc>
          <w:tcPr>
            <w:tcW w:w="29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栏次</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CellMar>
            <w:top w:w="0" w:type="dxa"/>
            <w:left w:w="0" w:type="dxa"/>
            <w:bottom w:w="0" w:type="dxa"/>
            <w:right w:w="0" w:type="dxa"/>
          </w:tblCellMar>
        </w:tblPrEx>
        <w:trPr>
          <w:trHeight w:val="638"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881.13</w:t>
            </w: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752.27</w:t>
            </w: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752.27</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638"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74.66</w:t>
            </w: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74.66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28.92</w:t>
            </w: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28.92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638"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十八、自然资源海洋气象等支出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42.32</w:t>
            </w: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42.32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1073"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二十一、灾害防治及应急管理支出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638"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881.13</w:t>
            </w: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898.16</w:t>
            </w: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898.16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23.42</w:t>
            </w: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6.39</w:t>
            </w: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6.39</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23.42</w:t>
            </w: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6"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698" w:hRule="atLeast"/>
          <w:jc w:val="center"/>
        </w:trPr>
        <w:tc>
          <w:tcPr>
            <w:tcW w:w="2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904.55</w:t>
            </w:r>
          </w:p>
        </w:tc>
        <w:tc>
          <w:tcPr>
            <w:tcW w:w="2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904.55</w:t>
            </w:r>
          </w:p>
        </w:tc>
        <w:tc>
          <w:tcPr>
            <w:tcW w:w="7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904.55</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r>
        <w:br w:type="page"/>
      </w:r>
    </w:p>
    <w:tbl>
      <w:tblPr>
        <w:tblStyle w:val="6"/>
        <w:tblW w:w="10120" w:type="dxa"/>
        <w:jc w:val="center"/>
        <w:tblLayout w:type="autofit"/>
        <w:tblCellMar>
          <w:top w:w="0" w:type="dxa"/>
          <w:left w:w="0" w:type="dxa"/>
          <w:bottom w:w="0" w:type="dxa"/>
          <w:right w:w="0" w:type="dxa"/>
        </w:tblCellMar>
      </w:tblPr>
      <w:tblGrid>
        <w:gridCol w:w="909"/>
        <w:gridCol w:w="52"/>
        <w:gridCol w:w="52"/>
        <w:gridCol w:w="3680"/>
        <w:gridCol w:w="1808"/>
        <w:gridCol w:w="1808"/>
        <w:gridCol w:w="1811"/>
      </w:tblGrid>
      <w:tr>
        <w:tblPrEx>
          <w:tblCellMar>
            <w:top w:w="0" w:type="dxa"/>
            <w:left w:w="0" w:type="dxa"/>
            <w:bottom w:w="0" w:type="dxa"/>
            <w:right w:w="0" w:type="dxa"/>
          </w:tblCellMar>
        </w:tblPrEx>
        <w:trPr>
          <w:trHeight w:val="1746" w:hRule="atLeast"/>
          <w:jc w:val="center"/>
        </w:trPr>
        <w:tc>
          <w:tcPr>
            <w:tcW w:w="1012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32"/>
                <w:szCs w:val="32"/>
                <w:lang w:bidi="ar"/>
              </w:rPr>
            </w:pPr>
          </w:p>
          <w:p>
            <w:pPr>
              <w:widowControl/>
              <w:jc w:val="center"/>
              <w:textAlignment w:val="center"/>
              <w:rPr>
                <w:rFonts w:hint="eastAsia" w:ascii="黑体" w:hAnsi="宋体" w:eastAsia="黑体" w:cs="黑体"/>
                <w:color w:val="000000"/>
                <w:kern w:val="0"/>
                <w:sz w:val="32"/>
                <w:szCs w:val="32"/>
                <w:lang w:bidi="ar"/>
              </w:rPr>
            </w:pPr>
          </w:p>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52"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42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352" w:hRule="atLeast"/>
          <w:jc w:val="center"/>
        </w:trPr>
        <w:tc>
          <w:tcPr>
            <w:tcW w:w="101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52" w:hRule="atLeast"/>
          <w:jc w:val="center"/>
        </w:trPr>
        <w:tc>
          <w:tcPr>
            <w:tcW w:w="101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52" w:hRule="atLeast"/>
          <w:jc w:val="center"/>
        </w:trPr>
        <w:tc>
          <w:tcPr>
            <w:tcW w:w="101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52"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52"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b/>
                <w:color w:val="000000"/>
                <w:kern w:val="2"/>
                <w:sz w:val="22"/>
                <w:szCs w:val="22"/>
                <w:lang w:val="en-US" w:eastAsia="zh-CN" w:bidi="ar-SA"/>
              </w:rPr>
            </w:pPr>
            <w:r>
              <w:rPr>
                <w:rFonts w:hint="eastAsia" w:ascii="宋体" w:hAnsi="宋体" w:eastAsia="宋体"/>
                <w:b/>
                <w:color w:val="000000"/>
                <w:sz w:val="22"/>
              </w:rPr>
              <w:t>898.16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b/>
                <w:color w:val="000000"/>
                <w:kern w:val="2"/>
                <w:sz w:val="22"/>
                <w:szCs w:val="22"/>
                <w:lang w:val="en-US" w:eastAsia="zh-CN" w:bidi="ar-SA"/>
              </w:rPr>
            </w:pPr>
            <w:r>
              <w:rPr>
                <w:rFonts w:hint="eastAsia" w:ascii="宋体" w:hAnsi="宋体" w:eastAsia="宋体"/>
                <w:b/>
                <w:color w:val="000000"/>
                <w:sz w:val="22"/>
              </w:rPr>
              <w:t>797.54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b/>
                <w:color w:val="000000"/>
                <w:kern w:val="2"/>
                <w:sz w:val="22"/>
                <w:szCs w:val="22"/>
                <w:lang w:val="en-US" w:eastAsia="zh-CN" w:bidi="ar-SA"/>
              </w:rPr>
            </w:pPr>
            <w:r>
              <w:rPr>
                <w:rFonts w:hint="eastAsia" w:ascii="宋体" w:hAnsi="宋体" w:eastAsia="宋体"/>
                <w:b/>
                <w:color w:val="000000"/>
                <w:sz w:val="22"/>
              </w:rPr>
              <w:t>100.62</w:t>
            </w: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纪检监察事务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752.27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651.65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100.62</w:t>
            </w: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752.27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651.65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100.62</w:t>
            </w: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2011102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629.61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629.61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2011104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大案要案查处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84.12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84.12</w:t>
            </w: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2011150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16.5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16.5</w:t>
            </w: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74.66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74.66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机关事业基本养老保险缴费支出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71.77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71.77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71.77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71.77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27.87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18"/>
                <w:szCs w:val="22"/>
                <w:lang w:val="en-US" w:eastAsia="zh-CN" w:bidi="ar-SA"/>
              </w:rPr>
            </w:pPr>
            <w:r>
              <w:rPr>
                <w:rFonts w:hint="eastAsia" w:ascii="宋体" w:hAnsi="宋体" w:eastAsia="宋体"/>
                <w:color w:val="000000"/>
                <w:sz w:val="18"/>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9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42.32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42.32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theme="minorBidi"/>
                <w:color w:val="000000"/>
                <w:kern w:val="2"/>
                <w:sz w:val="21"/>
                <w:szCs w:val="22"/>
                <w:lang w:val="en-US" w:eastAsia="zh-CN" w:bidi="ar-SA"/>
              </w:rPr>
            </w:pPr>
            <w:r>
              <w:rPr>
                <w:rFonts w:hint="eastAsia" w:ascii="宋体" w:hAnsi="宋体" w:eastAsia="宋体"/>
                <w:color w:val="000000"/>
                <w:sz w:val="21"/>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lef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42.32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42.32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r>
        <w:tblPrEx>
          <w:tblCellMar>
            <w:top w:w="0" w:type="dxa"/>
            <w:left w:w="0" w:type="dxa"/>
            <w:bottom w:w="0" w:type="dxa"/>
            <w:right w:w="0" w:type="dxa"/>
          </w:tblCellMar>
        </w:tblPrEx>
        <w:trPr>
          <w:trHeight w:val="35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42.32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r>
              <w:rPr>
                <w:rFonts w:hint="eastAsia" w:ascii="宋体" w:hAnsi="宋体" w:eastAsia="宋体"/>
                <w:color w:val="000000"/>
                <w:sz w:val="22"/>
              </w:rPr>
              <w:t>42.32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beforeLines="0" w:afterLines="0"/>
              <w:jc w:val="right"/>
              <w:rPr>
                <w:rFonts w:hint="eastAsia" w:ascii="宋体" w:hAnsi="宋体" w:eastAsia="宋体" w:cstheme="minorBidi"/>
                <w:color w:val="000000"/>
                <w:kern w:val="2"/>
                <w:sz w:val="22"/>
                <w:szCs w:val="22"/>
                <w:lang w:val="en-US" w:eastAsia="zh-CN" w:bidi="ar-SA"/>
              </w:rPr>
            </w:pPr>
          </w:p>
        </w:tc>
      </w:tr>
    </w:tbl>
    <w:p>
      <w:r>
        <w:rPr>
          <w:rFonts w:hint="eastAsia" w:ascii="宋体" w:hAnsi="宋体" w:eastAsia="宋体" w:cs="宋体"/>
          <w:color w:val="000000"/>
          <w:kern w:val="0"/>
          <w:sz w:val="22"/>
          <w:lang w:bidi="ar"/>
        </w:rPr>
        <w:t>注：本表反映</w:t>
      </w:r>
      <w:r>
        <w:rPr>
          <w:rFonts w:hint="eastAsia" w:ascii="宋体" w:hAnsi="宋体" w:eastAsia="宋体" w:cs="宋体"/>
          <w:color w:val="000000"/>
          <w:kern w:val="0"/>
          <w:sz w:val="22"/>
          <w:lang w:eastAsia="zh-CN" w:bidi="ar"/>
        </w:rPr>
        <w:t>本</w:t>
      </w:r>
      <w:r>
        <w:rPr>
          <w:rFonts w:hint="eastAsia" w:ascii="宋体" w:hAnsi="宋体" w:eastAsia="宋体" w:cs="宋体"/>
          <w:color w:val="000000"/>
          <w:kern w:val="0"/>
          <w:sz w:val="22"/>
          <w:lang w:bidi="ar"/>
        </w:rPr>
        <w:t>部门本年度一般公共预算财政拨款</w:t>
      </w:r>
      <w:r>
        <w:rPr>
          <w:rFonts w:hint="eastAsia" w:ascii="宋体" w:hAnsi="宋体" w:eastAsia="宋体" w:cs="宋体"/>
          <w:color w:val="000000"/>
          <w:kern w:val="0"/>
          <w:sz w:val="22"/>
          <w:lang w:eastAsia="zh-CN" w:bidi="ar"/>
        </w:rPr>
        <w:t>收入及支出</w:t>
      </w:r>
      <w:r>
        <w:rPr>
          <w:rFonts w:hint="eastAsia" w:ascii="宋体" w:hAnsi="宋体" w:eastAsia="宋体" w:cs="宋体"/>
          <w:color w:val="000000"/>
          <w:kern w:val="0"/>
          <w:sz w:val="22"/>
          <w:lang w:bidi="ar"/>
        </w:rPr>
        <w:t>情况</w:t>
      </w:r>
      <w:r>
        <w:br w:type="page"/>
      </w:r>
    </w:p>
    <w:tbl>
      <w:tblPr>
        <w:tblStyle w:val="6"/>
        <w:tblW w:w="9440" w:type="dxa"/>
        <w:jc w:val="center"/>
        <w:tblLayout w:type="fixed"/>
        <w:tblCellMar>
          <w:top w:w="0" w:type="dxa"/>
          <w:left w:w="0" w:type="dxa"/>
          <w:bottom w:w="0" w:type="dxa"/>
          <w:right w:w="0" w:type="dxa"/>
        </w:tblCellMar>
      </w:tblPr>
      <w:tblGrid>
        <w:gridCol w:w="843"/>
        <w:gridCol w:w="1821"/>
        <w:gridCol w:w="736"/>
        <w:gridCol w:w="616"/>
        <w:gridCol w:w="1507"/>
        <w:gridCol w:w="722"/>
        <w:gridCol w:w="701"/>
        <w:gridCol w:w="1782"/>
        <w:gridCol w:w="712"/>
      </w:tblGrid>
      <w:tr>
        <w:tblPrEx>
          <w:tblCellMar>
            <w:top w:w="0" w:type="dxa"/>
            <w:left w:w="0" w:type="dxa"/>
            <w:bottom w:w="0" w:type="dxa"/>
            <w:right w:w="0" w:type="dxa"/>
          </w:tblCellMar>
        </w:tblPrEx>
        <w:trPr>
          <w:trHeight w:val="90" w:hRule="atLeast"/>
          <w:jc w:val="center"/>
        </w:trPr>
        <w:tc>
          <w:tcPr>
            <w:tcW w:w="944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一般公共预算财政拨款基本支出决算表</w:t>
            </w:r>
          </w:p>
        </w:tc>
      </w:tr>
      <w:tr>
        <w:tblPrEx>
          <w:tblCellMar>
            <w:top w:w="0" w:type="dxa"/>
            <w:left w:w="0" w:type="dxa"/>
            <w:bottom w:w="0" w:type="dxa"/>
            <w:right w:w="0" w:type="dxa"/>
          </w:tblCellMar>
        </w:tblPrEx>
        <w:trPr>
          <w:trHeight w:val="90" w:hRule="atLeast"/>
          <w:jc w:val="center"/>
        </w:trPr>
        <w:tc>
          <w:tcPr>
            <w:tcW w:w="8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9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CellMar>
            <w:top w:w="0" w:type="dxa"/>
            <w:left w:w="0" w:type="dxa"/>
            <w:bottom w:w="0" w:type="dxa"/>
            <w:right w:w="0" w:type="dxa"/>
          </w:tblCellMar>
        </w:tblPrEx>
        <w:trPr>
          <w:trHeight w:val="90" w:hRule="atLeast"/>
          <w:jc w:val="center"/>
        </w:trPr>
        <w:tc>
          <w:tcPr>
            <w:tcW w:w="843"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8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9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90" w:hRule="atLeast"/>
          <w:jc w:val="center"/>
        </w:trPr>
        <w:tc>
          <w:tcPr>
            <w:tcW w:w="34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04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CellMar>
            <w:top w:w="0" w:type="dxa"/>
            <w:left w:w="0" w:type="dxa"/>
            <w:bottom w:w="0" w:type="dxa"/>
            <w:right w:w="0" w:type="dxa"/>
          </w:tblCellMar>
        </w:tblPrEx>
        <w:trPr>
          <w:trHeight w:val="312" w:hRule="atLeast"/>
          <w:jc w:val="center"/>
        </w:trPr>
        <w:tc>
          <w:tcPr>
            <w:tcW w:w="84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7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312" w:hRule="atLeast"/>
          <w:jc w:val="center"/>
        </w:trPr>
        <w:tc>
          <w:tcPr>
            <w:tcW w:w="84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586.22</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155.12</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221.64</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3.89</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144.97</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2.15</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67.26</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39.33</w:t>
            </w: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6.46</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71.77</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15.96</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28.92</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13.28</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42.32</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0.52</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16.87</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31.3</w:t>
            </w: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7.87</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16.87</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19.46</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5.41</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26.32</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33.48</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59" w:hRule="atLeast"/>
          <w:jc w:val="center"/>
        </w:trPr>
        <w:tc>
          <w:tcPr>
            <w:tcW w:w="8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25.87</w:t>
            </w: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66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603.09</w:t>
            </w:r>
          </w:p>
        </w:tc>
        <w:tc>
          <w:tcPr>
            <w:tcW w:w="532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194.45</w:t>
            </w:r>
          </w:p>
        </w:tc>
      </w:tr>
    </w:tbl>
    <w:p>
      <w:r>
        <w:rPr>
          <w:rFonts w:hint="eastAsia" w:ascii="宋体" w:hAnsi="宋体" w:eastAsia="宋体" w:cs="宋体"/>
          <w:color w:val="000000"/>
          <w:kern w:val="0"/>
          <w:sz w:val="22"/>
          <w:lang w:bidi="ar"/>
        </w:rPr>
        <w:t>注：本表反映</w:t>
      </w:r>
      <w:r>
        <w:rPr>
          <w:rFonts w:hint="eastAsia" w:ascii="宋体" w:hAnsi="宋体" w:eastAsia="宋体" w:cs="宋体"/>
          <w:color w:val="000000"/>
          <w:kern w:val="0"/>
          <w:sz w:val="22"/>
          <w:lang w:eastAsia="zh-CN" w:bidi="ar"/>
        </w:rPr>
        <w:t>本</w:t>
      </w:r>
      <w:r>
        <w:rPr>
          <w:rFonts w:hint="eastAsia" w:ascii="宋体" w:hAnsi="宋体" w:eastAsia="宋体" w:cs="宋体"/>
          <w:color w:val="000000"/>
          <w:kern w:val="0"/>
          <w:sz w:val="22"/>
          <w:lang w:bidi="ar"/>
        </w:rPr>
        <w:t>部门本年度一般公共预算</w:t>
      </w:r>
      <w:bookmarkStart w:id="0" w:name="_GoBack"/>
      <w:bookmarkEnd w:id="0"/>
      <w:r>
        <w:rPr>
          <w:rFonts w:hint="eastAsia" w:ascii="宋体" w:hAnsi="宋体" w:eastAsia="宋体" w:cs="宋体"/>
          <w:color w:val="000000"/>
          <w:kern w:val="0"/>
          <w:sz w:val="22"/>
          <w:lang w:bidi="ar"/>
        </w:rPr>
        <w:t>财政拨款</w:t>
      </w:r>
      <w:r>
        <w:rPr>
          <w:rFonts w:hint="eastAsia" w:ascii="宋体" w:hAnsi="宋体" w:eastAsia="宋体" w:cs="宋体"/>
          <w:color w:val="000000"/>
          <w:kern w:val="0"/>
          <w:sz w:val="22"/>
          <w:lang w:eastAsia="zh-CN" w:bidi="ar"/>
        </w:rPr>
        <w:t>基本支出明细</w:t>
      </w:r>
      <w:r>
        <w:rPr>
          <w:rFonts w:hint="eastAsia" w:ascii="宋体" w:hAnsi="宋体" w:eastAsia="宋体" w:cs="宋体"/>
          <w:color w:val="000000"/>
          <w:kern w:val="0"/>
          <w:sz w:val="22"/>
          <w:lang w:bidi="ar"/>
        </w:rPr>
        <w:t>情况</w:t>
      </w:r>
      <w:r>
        <w:br w:type="page"/>
      </w:r>
    </w:p>
    <w:tbl>
      <w:tblPr>
        <w:tblStyle w:val="6"/>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49.3</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9.65</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68.49</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60.62</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31.3</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29.32</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7.87</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autofit"/>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cs="宋体"/>
          <w:color w:val="000000"/>
          <w:kern w:val="0"/>
          <w:szCs w:val="21"/>
        </w:rPr>
        <w:t>本部门本年度无相关收入支出情况，按要求空表列示</w:t>
      </w:r>
      <w:r>
        <w:br w:type="page"/>
      </w:r>
    </w:p>
    <w:tbl>
      <w:tblPr>
        <w:tblStyle w:val="6"/>
        <w:tblW w:w="9915" w:type="dxa"/>
        <w:jc w:val="center"/>
        <w:tblLayout w:type="autofit"/>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cs="宋体"/>
          <w:color w:val="000000"/>
          <w:kern w:val="0"/>
          <w:szCs w:val="21"/>
        </w:rPr>
        <w:t>本部门本年度无相关收入支出情况，按要求空表列示</w:t>
      </w:r>
      <w:r>
        <w:br w:type="page"/>
      </w:r>
    </w:p>
    <w:p>
      <w:r>
        <mc:AlternateContent>
          <mc:Choice Requires="wps">
            <w:drawing>
              <wp:anchor distT="0" distB="0" distL="114300" distR="114300" simplePos="0" relativeHeight="251680768"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8076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___WRD_EMBED_SUB_41">
    <w:altName w:val="宋体"/>
    <w:panose1 w:val="02010600030101010101"/>
    <w:charset w:val="86"/>
    <w:family w:val="modern"/>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2834816" behindDoc="0" locked="0" layoutInCell="1" allowOverlap="1">
              <wp:simplePos x="0" y="0"/>
              <wp:positionH relativeFrom="page">
                <wp:posOffset>-27305</wp:posOffset>
              </wp:positionH>
              <wp:positionV relativeFrom="topMargin">
                <wp:posOffset>749300</wp:posOffset>
              </wp:positionV>
              <wp:extent cx="7579995" cy="416560"/>
              <wp:effectExtent l="0" t="0" r="1905" b="2540"/>
              <wp:wrapNone/>
              <wp:docPr id="23" name="组合 23"/>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2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59pt;height:32.8pt;width:596.85pt;mso-position-horizontal-relative:page;mso-position-vertical-relative:page;z-index:252834816;mso-width-relative:page;mso-height-relative:page;" coordorigin="881,505" coordsize="11971,1179" o:gfxdata="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GSfdz7aAAAACwEAAA8AAAAAAAAA&#10;AQAgAAAAIgAAAGRycy9kb3ducmV2LnhtbFBLAQIUABQAAAAIAIdO4kAkJxLL9AQAAKAUAAAOAAAA&#10;AAAAAAEAIAAAACk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WBhHI74AAADb&#10;AAAADwAAAGRycy9kb3ducmV2LnhtbEWPW4vCMBSE34X9D+Es7Jumyq6XahTxgvvktT/g0BzbanNS&#10;mmjdf28WBB+HmfmGmcwephR3ql1hWUG3E4EgTq0uOFOQnNbtIQjnkTWWlknBHzmYTT9aE4y1bfhA&#10;96PPRICwi1FB7n0VS+nSnAy6jq2Ig3e2tUEfZJ1JXWMT4KaUvSjqS4MFh4UcK1rklF6PN6Ngvt2N&#10;1vt0mGTladAkq8ty8L25KPX12Y3GIDw9/Dv8av9qBb0f+P8Sf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hHI7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hM945bsAAADb&#10;AAAADwAAAGRycy9kb3ducmV2LnhtbEWP0YrCMBRE34X9h3AXfNOkgrp0jeIuCCK+rPoBl+baVJub&#10;2sSqf2+EBR+HmTnDzBZ3V4uO2lB51pANFQjiwpuKSw2H/WrwBSJEZIO1Z9LwoACL+UdvhrnxN/6j&#10;bhdLkSAcctRgY2xyKUNhyWEY+oY4eUffOoxJtqU0Ld4S3NVypNREOqw4LVhs6NdScd5dnYZxx9vz&#10;xaoGf+Ils8vstAnTk9b9z0x9g4h0j+/wf3ttNIwm8Pq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945bsAAADb&#10;AAAADwAAAAAAAAABACAAAAAiAAAAZHJzL2Rvd25yZXYueG1sUEsBAhQAFAAAAAgAh07iQDMvBZ47&#10;AAAAOQAAABAAAAAAAAAAAQAgAAAACgEAAGRycy9zaGFwZXhtbC54bWxQSwUGAAAAAAYABgBbAQAA&#10;tAM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s">
          <w:drawing>
            <wp:anchor distT="0" distB="0" distL="114300" distR="114300" simplePos="0" relativeHeight="252836864" behindDoc="0" locked="0" layoutInCell="1" allowOverlap="1">
              <wp:simplePos x="0" y="0"/>
              <wp:positionH relativeFrom="column">
                <wp:posOffset>-1068070</wp:posOffset>
              </wp:positionH>
              <wp:positionV relativeFrom="paragraph">
                <wp:posOffset>222885</wp:posOffset>
              </wp:positionV>
              <wp:extent cx="2933700" cy="407035"/>
              <wp:effectExtent l="0" t="0" r="0" b="0"/>
              <wp:wrapNone/>
              <wp:docPr id="27" name="文本框 6"/>
              <wp:cNvGraphicFramePr/>
              <a:graphic xmlns:a="http://schemas.openxmlformats.org/drawingml/2006/main">
                <a:graphicData uri="http://schemas.microsoft.com/office/word/2010/wordprocessingShape">
                  <wps:wsp>
                    <wps:cNvSpPr txBox="1"/>
                    <wps:spPr>
                      <a:xfrm>
                        <a:off x="0" y="0"/>
                        <a:ext cx="2933522"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32"/>
                              <w:szCs w:val="40"/>
                            </w:rPr>
                          </w:pPr>
                          <w: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sz w:val="32"/>
                              <w:szCs w:val="40"/>
                            </w:rPr>
                            <w:t>第三部分 相关名词解释</w:t>
                          </w:r>
                        </w:p>
                        <w:p>
                          <w:pPr>
                            <w:rPr>
                              <w:rFonts w:ascii="微软雅黑" w:hAnsi="微软雅黑" w:eastAsia="微软雅黑" w:cs="微软雅黑"/>
                              <w:b/>
                              <w:bCs/>
                              <w:sz w:val="32"/>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84.1pt;margin-top:17.55pt;height:32.05pt;width:231pt;z-index:252836864;mso-width-relative:page;mso-height-relative:page;" filled="f" stroked="f" coordsize="21600,21600" o:gfxdata="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oWcB2wAAAAoBAAAPAAAAAAAAAAEAIAAAACIAAABkcnMvZG93bnJldi54bWxQSwECFAAUAAAACACH&#10;TuJA5R8RdCECAAAZBAAADgAAAAAAAAABACAAAAAqAQAAZHJzL2Uyb0RvYy54bWxQSwUGAAAAAAYA&#10;BgBZAQAAvQUAAAAA&#10;">
              <v:fill on="f" focussize="0,0"/>
              <v:stroke on="f" weight="0.5pt"/>
              <v:imagedata o:title=""/>
              <o:lock v:ext="edit" aspectratio="f"/>
              <v:textbox>
                <w:txbxContent>
                  <w:p>
                    <w:pPr>
                      <w:rPr>
                        <w:rFonts w:hint="eastAsia" w:ascii="微软雅黑" w:hAnsi="微软雅黑" w:eastAsia="微软雅黑" w:cs="微软雅黑"/>
                        <w:b/>
                        <w:bCs/>
                        <w:sz w:val="32"/>
                        <w:szCs w:val="40"/>
                      </w:rPr>
                    </w:pPr>
                    <w: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sz w:val="32"/>
                        <w:szCs w:val="40"/>
                      </w:rPr>
                      <w:t>第三部分 相关名词解释</w:t>
                    </w:r>
                  </w:p>
                  <w:p>
                    <w:pPr>
                      <w:rPr>
                        <w:rFonts w:ascii="微软雅黑" w:hAnsi="微软雅黑" w:eastAsia="微软雅黑" w:cs="微软雅黑"/>
                        <w:b/>
                        <w:bCs/>
                        <w:sz w:val="32"/>
                        <w:szCs w:val="40"/>
                      </w:rPr>
                    </w:pP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06368" behindDoc="0" locked="0" layoutInCell="1" allowOverlap="1">
              <wp:simplePos x="0" y="0"/>
              <wp:positionH relativeFrom="page">
                <wp:posOffset>28575</wp:posOffset>
              </wp:positionH>
              <wp:positionV relativeFrom="page">
                <wp:posOffset>581025</wp:posOffset>
              </wp:positionV>
              <wp:extent cx="3046095" cy="407035"/>
              <wp:effectExtent l="0" t="0" r="0" b="0"/>
              <wp:wrapNone/>
              <wp:docPr id="135" name="组合 135"/>
              <wp:cNvGraphicFramePr/>
              <a:graphic xmlns:a="http://schemas.openxmlformats.org/drawingml/2006/main">
                <a:graphicData uri="http://schemas.microsoft.com/office/word/2010/wordprocessingGroup">
                  <wpg:wgp>
                    <wpg:cNvGrpSpPr/>
                    <wpg:grpSpPr>
                      <a:xfrm>
                        <a:off x="0" y="0"/>
                        <a:ext cx="3046121" cy="407035"/>
                        <a:chOff x="1337" y="855"/>
                        <a:chExt cx="3206" cy="641"/>
                      </a:xfrm>
                    </wpg:grpSpPr>
                    <wps:wsp>
                      <wps:cNvPr id="136" name="文本框 6"/>
                      <wps:cNvSpPr txBox="1"/>
                      <wps:spPr>
                        <a:xfrm>
                          <a:off x="1456" y="855"/>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25pt;margin-top:45.75pt;height:32.05pt;width:239.85pt;mso-position-horizontal-relative:page;mso-position-vertical-relative:page;z-index:251706368;mso-width-relative:page;mso-height-relative:page;" coordorigin="1337,855" coordsize="3206,641" o:gfxdata="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5InYDYAAAACAEAAA8AAAAAAAAAAQAg&#10;AAAAIgAAAGRycy9kb3ducmV2LnhtbFBLAQIUABQAAAAIAIdO4kD2MHVZKwMAADkIAAAOAAAAAAAA&#10;AAEAIAAAACcBAABkcnMvZTJvRG9jLnhtbFBLBQYAAAAABgAGAFkBAADEBgAAAAA=&#10;">
              <o:lock v:ext="edit" aspectratio="f"/>
              <v:shape id="文本框 6" o:spid="_x0000_s1026" o:spt="202" type="#_x0000_t202" style="position:absolute;left:1456;top:855;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92CFD"/>
    <w:multiLevelType w:val="multilevel"/>
    <w:tmpl w:val="3AA92CFD"/>
    <w:lvl w:ilvl="0" w:tentative="0">
      <w:start w:val="1"/>
      <w:numFmt w:val="japaneseCounting"/>
      <w:lvlText w:val="%1、"/>
      <w:lvlJc w:val="left"/>
      <w:pPr>
        <w:ind w:left="1312" w:hanging="672"/>
      </w:pPr>
      <w:rPr>
        <w:rFonts w:hint="default" w:cs="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63E"/>
    <w:rsid w:val="00073392"/>
    <w:rsid w:val="00073F4E"/>
    <w:rsid w:val="00086C89"/>
    <w:rsid w:val="000A39FB"/>
    <w:rsid w:val="00117746"/>
    <w:rsid w:val="00163F95"/>
    <w:rsid w:val="00180A9A"/>
    <w:rsid w:val="001829C0"/>
    <w:rsid w:val="00184809"/>
    <w:rsid w:val="00192112"/>
    <w:rsid w:val="001B0127"/>
    <w:rsid w:val="001C12D5"/>
    <w:rsid w:val="001C69F7"/>
    <w:rsid w:val="001D6F9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57F86"/>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DE2332"/>
    <w:rsid w:val="00E028C3"/>
    <w:rsid w:val="00E14F77"/>
    <w:rsid w:val="00E3076B"/>
    <w:rsid w:val="00E36978"/>
    <w:rsid w:val="00E82A1E"/>
    <w:rsid w:val="00EA05EC"/>
    <w:rsid w:val="00EC06F4"/>
    <w:rsid w:val="00EE4E36"/>
    <w:rsid w:val="00F665F4"/>
    <w:rsid w:val="00FD225F"/>
    <w:rsid w:val="0273558F"/>
    <w:rsid w:val="05B00A30"/>
    <w:rsid w:val="05B91C07"/>
    <w:rsid w:val="09AA0E88"/>
    <w:rsid w:val="0B011416"/>
    <w:rsid w:val="118A23BE"/>
    <w:rsid w:val="11936605"/>
    <w:rsid w:val="1196311F"/>
    <w:rsid w:val="158527A5"/>
    <w:rsid w:val="1D9B2A83"/>
    <w:rsid w:val="1ED1154A"/>
    <w:rsid w:val="1EDB07E2"/>
    <w:rsid w:val="211C624C"/>
    <w:rsid w:val="291D1E73"/>
    <w:rsid w:val="2FA27E39"/>
    <w:rsid w:val="31C2036A"/>
    <w:rsid w:val="320D02A5"/>
    <w:rsid w:val="348E566F"/>
    <w:rsid w:val="3A226944"/>
    <w:rsid w:val="3AEE6A48"/>
    <w:rsid w:val="3C1620AA"/>
    <w:rsid w:val="3D8F080F"/>
    <w:rsid w:val="447251E6"/>
    <w:rsid w:val="44CE1FA4"/>
    <w:rsid w:val="487F73ED"/>
    <w:rsid w:val="4A347EAE"/>
    <w:rsid w:val="4C966150"/>
    <w:rsid w:val="51DC38AB"/>
    <w:rsid w:val="52600405"/>
    <w:rsid w:val="529B4319"/>
    <w:rsid w:val="53C95FBD"/>
    <w:rsid w:val="57773DD6"/>
    <w:rsid w:val="578B79AB"/>
    <w:rsid w:val="5B444178"/>
    <w:rsid w:val="5CCD3FD5"/>
    <w:rsid w:val="61FA5F9D"/>
    <w:rsid w:val="64CD6910"/>
    <w:rsid w:val="6789158D"/>
    <w:rsid w:val="67D81BA4"/>
    <w:rsid w:val="68375DC8"/>
    <w:rsid w:val="69341087"/>
    <w:rsid w:val="6AAF1C96"/>
    <w:rsid w:val="6B9B652C"/>
    <w:rsid w:val="6F2D5AAB"/>
    <w:rsid w:val="75681757"/>
    <w:rsid w:val="75A346A8"/>
    <w:rsid w:val="79B9382C"/>
    <w:rsid w:val="7B043B76"/>
    <w:rsid w:val="7C041A6A"/>
    <w:rsid w:val="7E327570"/>
    <w:rsid w:val="7EE25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7.png"/><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bmp"/><Relationship Id="rId25" Type="http://schemas.openxmlformats.org/officeDocument/2006/relationships/image" Target="media/image2.jpeg"/><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7FC96-AC3B-449A-8104-E68A064A0369}">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32</Pages>
  <Words>1662</Words>
  <Characters>9479</Characters>
  <Lines>78</Lines>
  <Paragraphs>22</Paragraphs>
  <TotalTime>4</TotalTime>
  <ScaleCrop>false</ScaleCrop>
  <LinksUpToDate>false</LinksUpToDate>
  <CharactersWithSpaces>11119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琉璃若舞</cp:lastModifiedBy>
  <cp:lastPrinted>2020-09-09T06:09:00Z</cp:lastPrinted>
  <dcterms:modified xsi:type="dcterms:W3CDTF">2020-09-10T07:04:54Z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